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3F862D">
      <w:pPr>
        <w:spacing w:line="360" w:lineRule="auto"/>
        <w:jc w:val="center"/>
        <w:rPr>
          <w:rFonts w:ascii="黑体" w:hAnsi="黑体" w:eastAsia="黑体"/>
          <w:b/>
          <w:bCs/>
          <w:sz w:val="32"/>
          <w:szCs w:val="32"/>
        </w:rPr>
      </w:pPr>
      <w:r>
        <w:rPr>
          <w:rFonts w:hint="eastAsia" w:ascii="黑体" w:hAnsi="黑体" w:eastAsia="黑体"/>
          <w:b/>
          <w:bCs/>
          <w:sz w:val="32"/>
          <w:szCs w:val="32"/>
        </w:rPr>
        <w:t>江苏师范大学</w:t>
      </w:r>
      <w:bookmarkStart w:id="0" w:name="_Hlk242696658"/>
      <w:r>
        <w:rPr>
          <w:rFonts w:hint="eastAsia" w:ascii="黑体" w:hAnsi="黑体" w:eastAsia="黑体"/>
          <w:b/>
          <w:bCs/>
          <w:sz w:val="32"/>
          <w:szCs w:val="32"/>
        </w:rPr>
        <w:t>技术经理人素养与实训</w:t>
      </w:r>
    </w:p>
    <w:bookmarkEnd w:id="0"/>
    <w:p w14:paraId="4DECA695">
      <w:pPr>
        <w:spacing w:line="360" w:lineRule="auto"/>
        <w:jc w:val="center"/>
        <w:rPr>
          <w:rFonts w:ascii="黑体" w:hAnsi="黑体" w:eastAsia="黑体"/>
          <w:b/>
          <w:bCs/>
          <w:sz w:val="32"/>
          <w:szCs w:val="32"/>
        </w:rPr>
      </w:pPr>
      <w:r>
        <w:rPr>
          <w:rFonts w:hint="eastAsia" w:ascii="黑体" w:hAnsi="黑体" w:eastAsia="黑体"/>
          <w:b/>
          <w:bCs/>
          <w:sz w:val="32"/>
          <w:szCs w:val="32"/>
        </w:rPr>
        <w:t>微专业招生简章</w:t>
      </w:r>
    </w:p>
    <w:p w14:paraId="25415C97">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一、微专业介绍</w:t>
      </w:r>
    </w:p>
    <w:p w14:paraId="7E8FC355">
      <w:pPr>
        <w:spacing w:line="360" w:lineRule="auto"/>
        <w:ind w:firstLine="440" w:firstLineChars="200"/>
        <w:rPr>
          <w:rFonts w:ascii="Calibri" w:hAnsi="Calibri" w:eastAsia="宋体" w:cs="Times New Roman"/>
          <w:b/>
          <w:bCs/>
        </w:rPr>
      </w:pPr>
      <w:r>
        <w:rPr>
          <w:rFonts w:hint="eastAsia" w:ascii="Calibri" w:hAnsi="Calibri" w:eastAsia="宋体" w:cs="Times New Roman"/>
        </w:rPr>
        <w:t>江苏师范大学</w:t>
      </w:r>
      <w:r>
        <w:rPr>
          <w:rFonts w:hint="eastAsia" w:ascii="Calibri" w:hAnsi="Calibri" w:eastAsia="宋体" w:cs="Times New Roman"/>
          <w:bCs/>
        </w:rPr>
        <w:t>技术经理人素养与实训</w:t>
      </w:r>
      <w:r>
        <w:rPr>
          <w:rFonts w:hint="eastAsia" w:ascii="Calibri" w:hAnsi="Calibri" w:eastAsia="宋体" w:cs="Times New Roman"/>
        </w:rPr>
        <w:t>微专业面向科技成果转化、知识产权运营等岗位需求，聚焦技术转移全流程与合规风控两大核心板块。</w:t>
      </w:r>
      <w:r>
        <w:rPr>
          <w:rFonts w:hint="eastAsia" w:ascii="Calibri" w:hAnsi="Calibri" w:eastAsia="宋体" w:cs="Times New Roman"/>
          <w:b/>
        </w:rPr>
        <w:t>课程系统讲授知识产权管理、技术交易实务、科技政策、法律合规、成果估值与产业化等内容，联合地方政府、行业企业开展真实场景实务训练，</w:t>
      </w:r>
      <w:r>
        <w:rPr>
          <w:rFonts w:hint="eastAsia" w:ascii="Calibri" w:hAnsi="Calibri" w:eastAsia="宋体" w:cs="Times New Roman"/>
        </w:rPr>
        <w:t>具体设置</w:t>
      </w:r>
      <w:bookmarkStart w:id="1" w:name="OLE_LINK18"/>
      <w:r>
        <w:rPr>
          <w:rFonts w:hint="eastAsia" w:ascii="Calibri" w:hAnsi="Calibri" w:eastAsia="宋体" w:cs="Times New Roman"/>
        </w:rPr>
        <w:t>《管理学》《生产运营管理》《商业模式与盈利模式管理》《知识产权运营和技术合同管理》《企业并购与技术作价入股》《技术转移实务与案例》</w:t>
      </w:r>
      <w:bookmarkEnd w:id="1"/>
      <w:r>
        <w:rPr>
          <w:rFonts w:hint="eastAsia" w:ascii="Calibri" w:hAnsi="Calibri" w:eastAsia="宋体" w:cs="Times New Roman"/>
        </w:rPr>
        <w:t>等六门核心课程，旨在培养兼具技术思维、法律素养与商业能力的复合型人才，使学习者掌握技术项目洽谈、合同拟定、风险识别、成果落地等实操技能，能够胜任高校、科研院所、行业企业及中介机构的技术转移、知识产权与合规管理相关工作</w:t>
      </w:r>
    </w:p>
    <w:p w14:paraId="00524AF9">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二、培养目标</w:t>
      </w:r>
    </w:p>
    <w:p w14:paraId="013072A4">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（一）培养方向</w:t>
      </w:r>
    </w:p>
    <w:p w14:paraId="5FCE43A8">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1.面向创新主体的技术转移与合规管理战略人才</w:t>
      </w:r>
    </w:p>
    <w:p w14:paraId="62E3D21B">
      <w:pPr>
        <w:spacing w:line="360" w:lineRule="auto"/>
        <w:ind w:firstLine="480" w:firstLineChars="200"/>
        <w:rPr>
          <w:rFonts w:ascii="宋体" w:hAnsi="宋体" w:eastAsia="宋体" w:cs="宋体"/>
          <w:sz w:val="24"/>
        </w:rPr>
      </w:pPr>
      <w:r>
        <w:rPr>
          <w:rFonts w:hint="eastAsia" w:ascii="宋体" w:hAnsi="宋体" w:eastAsia="宋体" w:cs="宋体"/>
          <w:sz w:val="24"/>
        </w:rPr>
        <w:t>培养学生服务于企业、科研院所等创新单位，能够从事技术转移全流程管理。具体包括：进行专利挖掘、布局与申请维护；开展技术转移风险预警与侵权分析；制定并实施知识产权资产运营与转化策略；参与企业技术合作、并购中的技术转移谈判与合规审查。</w:t>
      </w:r>
    </w:p>
    <w:p w14:paraId="62895B92">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2.面向专业服务的技术转移与合规管理实务与代理人才</w:t>
      </w:r>
    </w:p>
    <w:p w14:paraId="6C2EDA87">
      <w:pPr>
        <w:spacing w:line="360" w:lineRule="auto"/>
        <w:ind w:firstLine="480" w:firstLineChars="200"/>
        <w:rPr>
          <w:rFonts w:ascii="宋体" w:hAnsi="宋体" w:eastAsia="宋体" w:cs="宋体"/>
          <w:sz w:val="24"/>
        </w:rPr>
      </w:pPr>
      <w:r>
        <w:rPr>
          <w:rFonts w:hint="eastAsia" w:ascii="宋体" w:hAnsi="宋体" w:eastAsia="宋体" w:cs="宋体"/>
          <w:sz w:val="24"/>
        </w:rPr>
        <w:t>培养学生投身于技术转移和合规代理机构、律师事务所或咨询公司，提供市场化专业服务。重点培养高新技术等领域的技术转移与风险合规等核心实务能力；训练其进行技术转移、分析风险与价值评估；使其能够胜任为客户提供高水平、全方位的技术转移与合规管理解决方案。</w:t>
      </w:r>
    </w:p>
    <w:p w14:paraId="62C00BA7">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3.具备技术转移和合规管理素养的复合型研发与管理人才</w:t>
      </w:r>
    </w:p>
    <w:p w14:paraId="61450B77">
      <w:pPr>
        <w:spacing w:line="360" w:lineRule="auto"/>
        <w:ind w:firstLine="480" w:firstLineChars="200"/>
        <w:rPr>
          <w:rFonts w:ascii="宋体" w:hAnsi="宋体" w:eastAsia="宋体" w:cs="宋体"/>
          <w:sz w:val="24"/>
        </w:rPr>
      </w:pPr>
      <w:r>
        <w:rPr>
          <w:rFonts w:hint="eastAsia" w:ascii="宋体" w:hAnsi="宋体" w:eastAsia="宋体" w:cs="宋体"/>
          <w:sz w:val="24"/>
        </w:rPr>
        <w:t>赋能主修专业（重点是工科和法学），培养学生在其原有专业领域内深度融合技术转移和合规管理思维。使技术研发人员具备专利导向的创新意识与规避设计能力；使企业管理人员掌握以技术为核心资产的商业模式与战略规划能力。</w:t>
      </w:r>
    </w:p>
    <w:p w14:paraId="722A6ECF">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（二）培养模式</w:t>
      </w:r>
    </w:p>
    <w:p w14:paraId="1E1EC7E3">
      <w:pPr>
        <w:spacing w:line="360" w:lineRule="auto"/>
        <w:ind w:firstLine="480" w:firstLineChars="200"/>
        <w:rPr>
          <w:rFonts w:ascii="宋体" w:hAnsi="宋体" w:eastAsia="宋体" w:cs="宋体"/>
          <w:sz w:val="24"/>
        </w:rPr>
      </w:pPr>
      <w:r>
        <w:rPr>
          <w:rFonts w:hint="eastAsia" w:ascii="宋体" w:hAnsi="宋体" w:eastAsia="宋体" w:cs="宋体"/>
          <w:sz w:val="24"/>
        </w:rPr>
        <w:t>本微专业遵循“知识复合、能力导向、创新驱动”的原则，构建了一套区别于传统专业培养的独特模式，旨在短期内高效塑造学生的核心竞争力。该模式的核心体现在以下三个维度：</w:t>
      </w:r>
    </w:p>
    <w:p w14:paraId="3EB53022">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1.特色课程设计</w:t>
      </w:r>
    </w:p>
    <w:p w14:paraId="7DABEFB7">
      <w:pPr>
        <w:spacing w:after="0" w:line="360" w:lineRule="auto"/>
        <w:ind w:firstLine="480" w:firstLineChars="200"/>
        <w:rPr>
          <w:rFonts w:ascii="宋体" w:hAnsi="宋体" w:eastAsia="宋体" w:cs="宋体"/>
          <w:sz w:val="24"/>
        </w:rPr>
      </w:pPr>
      <w:r>
        <w:rPr>
          <w:rFonts w:hint="eastAsia" w:ascii="宋体" w:hAnsi="宋体" w:eastAsia="宋体" w:cs="宋体"/>
          <w:sz w:val="24"/>
        </w:rPr>
        <w:t>构建“基础理论模块（《管理学》）</w:t>
      </w:r>
      <w:r>
        <w:rPr>
          <w:rFonts w:ascii="宋体" w:hAnsi="宋体" w:eastAsia="宋体" w:cs="宋体"/>
          <w:sz w:val="24"/>
        </w:rPr>
        <w:t>+专业</w:t>
      </w:r>
      <w:r>
        <w:rPr>
          <w:rFonts w:hint="eastAsia" w:ascii="宋体" w:hAnsi="宋体" w:eastAsia="宋体" w:cs="宋体"/>
          <w:sz w:val="24"/>
        </w:rPr>
        <w:t>领域</w:t>
      </w:r>
      <w:r>
        <w:rPr>
          <w:rFonts w:ascii="宋体" w:hAnsi="宋体" w:eastAsia="宋体" w:cs="宋体"/>
          <w:sz w:val="24"/>
        </w:rPr>
        <w:t>模块（《生产运营管理》《商业模式与盈利模式管理》《知识产权运营和技术合同管理》《</w:t>
      </w:r>
      <w:bookmarkStart w:id="2" w:name="OLE_LINK36"/>
      <w:r>
        <w:rPr>
          <w:rFonts w:ascii="宋体" w:hAnsi="宋体" w:eastAsia="宋体" w:cs="宋体"/>
          <w:sz w:val="24"/>
        </w:rPr>
        <w:t>企业并购与技术作价入股</w:t>
      </w:r>
      <w:bookmarkEnd w:id="2"/>
      <w:r>
        <w:rPr>
          <w:rFonts w:ascii="宋体" w:hAnsi="宋体" w:eastAsia="宋体" w:cs="宋体"/>
          <w:sz w:val="24"/>
        </w:rPr>
        <w:t>》）+综合技能模块（《技术转移实务与案例》）”的三层次课程模块。课程间逻辑递进，形成有机整体。</w:t>
      </w:r>
    </w:p>
    <w:p w14:paraId="7D89559B">
      <w:pPr>
        <w:spacing w:after="0" w:line="360" w:lineRule="auto"/>
        <w:ind w:firstLine="480" w:firstLineChars="200"/>
        <w:rPr>
          <w:rFonts w:ascii="宋体" w:hAnsi="宋体" w:eastAsia="宋体" w:cs="宋体"/>
          <w:sz w:val="24"/>
        </w:rPr>
      </w:pPr>
      <w:r>
        <w:rPr>
          <w:rFonts w:hint="eastAsia" w:ascii="宋体" w:hAnsi="宋体" w:eastAsia="宋体" w:cs="宋体"/>
          <w:sz w:val="24"/>
        </w:rPr>
        <w:t>全面推行校内导师与产业导师“双师同堂”、“线上线下混合”等教学模式。所有核心课程均在学校网络教学平台建设线上资源库（含大纲、课件、微课视频、案例、在线测验），供学生课前预习与课后巩固。课堂时间主要用于重点难点解析、深度案例研讨和师生互动，推动启发式、讨论式教学。每门课程视情况安排</w:t>
      </w:r>
      <w:r>
        <w:rPr>
          <w:rFonts w:ascii="宋体" w:hAnsi="宋体" w:eastAsia="宋体" w:cs="宋体"/>
          <w:sz w:val="24"/>
        </w:rPr>
        <w:t>1-2次由校外</w:t>
      </w:r>
      <w:r>
        <w:rPr>
          <w:rFonts w:hint="eastAsia" w:ascii="宋体" w:hAnsi="宋体" w:eastAsia="宋体" w:cs="宋体"/>
          <w:sz w:val="24"/>
        </w:rPr>
        <w:t>产业导师</w:t>
      </w:r>
      <w:r>
        <w:rPr>
          <w:rFonts w:ascii="宋体" w:hAnsi="宋体" w:eastAsia="宋体" w:cs="宋体"/>
          <w:sz w:val="24"/>
        </w:rPr>
        <w:t>（</w:t>
      </w:r>
      <w:r>
        <w:rPr>
          <w:rFonts w:hint="eastAsia" w:ascii="宋体" w:hAnsi="宋体" w:eastAsia="宋体" w:cs="宋体"/>
          <w:sz w:val="24"/>
        </w:rPr>
        <w:t>科技管理专家、技术</w:t>
      </w:r>
      <w:r>
        <w:rPr>
          <w:rFonts w:ascii="宋体" w:hAnsi="宋体" w:eastAsia="宋体" w:cs="宋体"/>
          <w:sz w:val="24"/>
        </w:rPr>
        <w:t>总监、财务总监、运营总监等）主讲的专题讲座</w:t>
      </w:r>
      <w:r>
        <w:rPr>
          <w:rFonts w:hint="eastAsia" w:ascii="宋体" w:hAnsi="宋体" w:eastAsia="宋体" w:cs="宋体"/>
          <w:sz w:val="24"/>
        </w:rPr>
        <w:t>和现场教学</w:t>
      </w:r>
      <w:r>
        <w:rPr>
          <w:rFonts w:ascii="宋体" w:hAnsi="宋体" w:eastAsia="宋体" w:cs="宋体"/>
          <w:sz w:val="24"/>
        </w:rPr>
        <w:t>。</w:t>
      </w:r>
    </w:p>
    <w:p w14:paraId="067FBDA9">
      <w:pPr>
        <w:spacing w:line="360" w:lineRule="auto"/>
        <w:ind w:firstLine="440" w:firstLineChars="200"/>
        <w:rPr>
          <w:rFonts w:ascii="宋体" w:hAnsi="宋体" w:eastAsia="宋体" w:cs="宋体"/>
          <w:sz w:val="24"/>
        </w:rPr>
      </w:pPr>
      <w:r>
        <w:rPr>
          <w:rFonts w:hint="eastAsia" w:ascii="等线" w:hAnsi="等线" w:eastAsia="等线" w:cs="等线"/>
          <w:b/>
          <w:bCs/>
          <w:szCs w:val="22"/>
        </w:rPr>
        <w:t>2.实践与创新</w:t>
      </w:r>
    </w:p>
    <w:p w14:paraId="4C462E32">
      <w:pPr>
        <w:spacing w:line="360" w:lineRule="auto"/>
        <w:ind w:firstLine="480" w:firstLineChars="200"/>
        <w:rPr>
          <w:rFonts w:ascii="宋体" w:hAnsi="宋体" w:eastAsia="宋体" w:cs="宋体"/>
          <w:sz w:val="24"/>
        </w:rPr>
      </w:pPr>
      <w:r>
        <w:rPr>
          <w:rFonts w:hint="eastAsia" w:ascii="宋体" w:hAnsi="宋体" w:eastAsia="宋体" w:cs="宋体"/>
          <w:sz w:val="24"/>
        </w:rPr>
        <w:t>实践教学贯穿培养全程，采用“沉浸式项目驱动”方法。学生从入学起即组成跨学科项目小组，围绕一个模拟或真实的创新项目（如一款软件、一项技术改进），完整经历从“</w:t>
      </w:r>
      <w:r>
        <w:rPr>
          <w:rFonts w:ascii="宋体" w:hAnsi="宋体" w:eastAsia="宋体" w:cs="宋体"/>
          <w:sz w:val="24"/>
        </w:rPr>
        <w:t>前期挖掘与评估</w:t>
      </w:r>
      <w:r>
        <w:rPr>
          <w:rFonts w:hint="eastAsia" w:ascii="宋体" w:hAnsi="宋体" w:eastAsia="宋体" w:cs="宋体"/>
          <w:sz w:val="24"/>
        </w:rPr>
        <w:t>-</w:t>
      </w:r>
      <w:r>
        <w:rPr>
          <w:rFonts w:ascii="宋体" w:hAnsi="宋体" w:eastAsia="宋体" w:cs="宋体"/>
          <w:sz w:val="24"/>
        </w:rPr>
        <w:t>交易洽谈与方案设计</w:t>
      </w:r>
      <w:r>
        <w:rPr>
          <w:rFonts w:hint="eastAsia" w:ascii="宋体" w:hAnsi="宋体" w:eastAsia="宋体" w:cs="宋体"/>
          <w:sz w:val="24"/>
        </w:rPr>
        <w:t>-</w:t>
      </w:r>
      <w:r>
        <w:rPr>
          <w:rFonts w:ascii="宋体" w:hAnsi="宋体" w:eastAsia="宋体" w:cs="宋体"/>
          <w:sz w:val="24"/>
        </w:rPr>
        <w:t>协议签署与审批备案</w:t>
      </w:r>
      <w:r>
        <w:rPr>
          <w:rFonts w:hint="eastAsia" w:ascii="宋体" w:hAnsi="宋体" w:eastAsia="宋体" w:cs="宋体"/>
          <w:sz w:val="24"/>
        </w:rPr>
        <w:t>-</w:t>
      </w:r>
      <w:r>
        <w:rPr>
          <w:rFonts w:ascii="宋体" w:hAnsi="宋体" w:eastAsia="宋体" w:cs="宋体"/>
          <w:sz w:val="24"/>
        </w:rPr>
        <w:t>履约实施与过程管控-成果收尾与持续运维</w:t>
      </w:r>
      <w:r>
        <w:rPr>
          <w:rFonts w:hint="eastAsia" w:ascii="宋体" w:hAnsi="宋体" w:eastAsia="宋体" w:cs="宋体"/>
          <w:sz w:val="24"/>
        </w:rPr>
        <w:t>”的全流程。这一过程将分散的课程知识串联为解决实际问题的综合能力。同时，建立“企业诊所”与“移动课堂”机制，定期组织学生前往合作企业、科技管理部门或代理机构进行实地观摩与现场教学，由一线专家面对真实案件进行讲解,真正做到学以致用。</w:t>
      </w:r>
    </w:p>
    <w:p w14:paraId="3B51B092">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3.综合素质培养</w:t>
      </w:r>
    </w:p>
    <w:p w14:paraId="68C4D33F">
      <w:pPr>
        <w:spacing w:line="360" w:lineRule="auto"/>
        <w:ind w:firstLine="480" w:firstLineChars="200"/>
        <w:rPr>
          <w:rFonts w:ascii="宋体" w:hAnsi="宋体" w:eastAsia="宋体" w:cs="宋体"/>
          <w:sz w:val="24"/>
        </w:rPr>
      </w:pPr>
      <w:r>
        <w:rPr>
          <w:rFonts w:hint="eastAsia" w:ascii="宋体" w:hAnsi="宋体" w:eastAsia="宋体" w:cs="宋体"/>
          <w:sz w:val="24"/>
        </w:rPr>
        <w:t>通过刻意混合不同主修专业背景的学生组成团队，在完成项目任务过程中，理工科学生负责理解技术本质，法学背景学生聚焦法律风险，商科学生评估市场价值，从而模拟未来职场中多部门协同工作的真实场景，培养学生沟通、领导与整合能力。</w:t>
      </w:r>
    </w:p>
    <w:p w14:paraId="20F88746">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（三）培养要求</w:t>
      </w:r>
    </w:p>
    <w:p w14:paraId="3BF799DC">
      <w:pPr>
        <w:spacing w:line="360" w:lineRule="auto"/>
        <w:ind w:firstLine="480" w:firstLineChars="200"/>
        <w:rPr>
          <w:rFonts w:ascii="宋体" w:hAnsi="宋体" w:eastAsia="宋体" w:cs="宋体"/>
          <w:sz w:val="24"/>
        </w:rPr>
      </w:pPr>
      <w:r>
        <w:rPr>
          <w:rFonts w:hint="eastAsia" w:ascii="宋体" w:hAnsi="宋体" w:eastAsia="宋体" w:cs="宋体"/>
          <w:sz w:val="24"/>
        </w:rPr>
        <w:t>为达成复合型、应用型技术转移和合规管理人才的培养目标，本微专业学生在完成规定学习后，需在知识、能力与素养层面达到以下具体培养要求：</w:t>
      </w:r>
    </w:p>
    <w:p w14:paraId="3B30805B">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1.构建跨学科的复合知识体系</w:t>
      </w:r>
    </w:p>
    <w:p w14:paraId="45719B90">
      <w:pPr>
        <w:spacing w:line="360" w:lineRule="auto"/>
        <w:ind w:firstLine="480" w:firstLineChars="200"/>
        <w:rPr>
          <w:rFonts w:ascii="宋体" w:hAnsi="宋体" w:eastAsia="宋体" w:cs="宋体"/>
          <w:sz w:val="24"/>
        </w:rPr>
      </w:pPr>
      <w:r>
        <w:rPr>
          <w:rFonts w:hint="eastAsia" w:ascii="宋体" w:hAnsi="宋体" w:eastAsia="宋体" w:cs="宋体"/>
          <w:sz w:val="24"/>
        </w:rPr>
        <w:t>学生应系统掌握技术转移领域核心管理和法律方面的原理及基础知识。深入理解主要技术转移涉及到的法律构成要件、权利内容、限制与例外，形成完整的有关法律知识框架；能够运用管理学基本理论，初步分析与自身主修专业（如工程技术、生物化学、文化创意、商业管理等）相关的创新成果保护策略与潜在风险问题。</w:t>
      </w:r>
    </w:p>
    <w:p w14:paraId="3E48BEB5">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2.掌握全链条的核心实务技能</w:t>
      </w:r>
    </w:p>
    <w:p w14:paraId="5604E712">
      <w:pPr>
        <w:spacing w:line="360" w:lineRule="auto"/>
        <w:ind w:firstLine="480" w:firstLineChars="200"/>
        <w:rPr>
          <w:rFonts w:ascii="宋体" w:hAnsi="宋体" w:eastAsia="宋体" w:cs="宋体"/>
          <w:sz w:val="24"/>
        </w:rPr>
      </w:pPr>
      <w:r>
        <w:rPr>
          <w:rFonts w:hint="eastAsia" w:ascii="宋体" w:hAnsi="宋体" w:eastAsia="宋体" w:cs="宋体"/>
          <w:sz w:val="24"/>
        </w:rPr>
        <w:t>学生应具备将理论知识转化为解决实际问题的核心操作能力，满足一线工作的基本要求。能够熟练运用官方数据库及科易网、中国国际科技交流中心、各级政府知识产权和技术转移有关数据；充分掌握成果</w:t>
      </w:r>
      <w:r>
        <w:rPr>
          <w:rFonts w:ascii="宋体" w:hAnsi="宋体" w:eastAsia="宋体" w:cs="宋体"/>
          <w:sz w:val="24"/>
        </w:rPr>
        <w:t>研判技能</w:t>
      </w:r>
      <w:r>
        <w:rPr>
          <w:rFonts w:hint="eastAsia" w:ascii="宋体" w:hAnsi="宋体" w:eastAsia="宋体" w:cs="宋体"/>
          <w:sz w:val="24"/>
        </w:rPr>
        <w:t>、技术交易实务技能、合规风控技能和项目运营与收益管理技能等，并提出有益的规避或应对建议。</w:t>
      </w:r>
    </w:p>
    <w:p w14:paraId="3AFA79F8">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3.理解产业生态与宏观导向</w:t>
      </w:r>
    </w:p>
    <w:p w14:paraId="78EE2129">
      <w:pPr>
        <w:spacing w:line="360" w:lineRule="auto"/>
        <w:ind w:firstLine="480" w:firstLineChars="200"/>
        <w:rPr>
          <w:rFonts w:ascii="宋体" w:hAnsi="宋体" w:eastAsia="宋体" w:cs="宋体"/>
          <w:sz w:val="24"/>
        </w:rPr>
      </w:pPr>
      <w:r>
        <w:rPr>
          <w:rFonts w:hint="eastAsia" w:ascii="宋体" w:hAnsi="宋体" w:eastAsia="宋体" w:cs="宋体"/>
          <w:sz w:val="24"/>
        </w:rPr>
        <w:t>学生需具备将技术转移和合规管理置于商业与政策语境下进行思考和运用的能力。理解技术转移在科技型企业估值、融资并购及市场竞争中的核心作用与价值实现路径；深刻理解国家创新驱动发展战略、知识产权强国建设纲要的顶层设计，熟悉江苏省及本地市关于科技创新、成果转化与知识产权运用的扶持政策、公共服务体系，能够将个人发展融入区域创新发展需求。</w:t>
      </w:r>
    </w:p>
    <w:p w14:paraId="1B50E0B1">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4.恪守伦理与专业操守</w:t>
      </w:r>
    </w:p>
    <w:p w14:paraId="65300751">
      <w:pPr>
        <w:spacing w:line="360" w:lineRule="auto"/>
        <w:ind w:firstLine="480" w:firstLineChars="200"/>
        <w:rPr>
          <w:rFonts w:ascii="宋体" w:hAnsi="宋体" w:eastAsia="宋体" w:cs="宋体"/>
          <w:sz w:val="24"/>
        </w:rPr>
      </w:pPr>
      <w:r>
        <w:rPr>
          <w:rFonts w:hint="eastAsia" w:ascii="宋体" w:hAnsi="宋体" w:eastAsia="宋体" w:cs="宋体"/>
          <w:sz w:val="24"/>
        </w:rPr>
        <w:t>学生应树立正确的价值观，明确技术转移和合规管理专业人才的社会角色与伦理边界。理解技术转移制度激励创新与促进知识传播、维护公共利益的二元价值目标，能在具体问题中思考私权保护与公共健康、科技普及等社会福祉的平衡；主动成为技术转移文化的传播者与建设者，具备向公众进行技术转移普法的意愿和能力，肩负起推动社会整体创新意识提升的责任。</w:t>
      </w:r>
    </w:p>
    <w:p w14:paraId="67DB5997">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三、专业特色</w:t>
      </w:r>
    </w:p>
    <w:p w14:paraId="791B5A94">
      <w:pPr>
        <w:spacing w:line="360" w:lineRule="auto"/>
        <w:ind w:firstLine="480" w:firstLineChars="200"/>
        <w:rPr>
          <w:rFonts w:ascii="宋体" w:hAnsi="宋体" w:eastAsia="宋体" w:cs="宋体"/>
          <w:sz w:val="24"/>
        </w:rPr>
      </w:pPr>
      <w:r>
        <w:rPr>
          <w:rFonts w:hint="eastAsia" w:ascii="宋体" w:hAnsi="宋体" w:eastAsia="宋体" w:cs="宋体"/>
          <w:sz w:val="24"/>
        </w:rPr>
        <w:t>本技术转移和合规管理微专业紧密围绕国家创新驱动发展战略与高素质复合型人才培养需求，其专业特色主要体现在以下四个维度：</w:t>
      </w:r>
    </w:p>
    <w:p w14:paraId="1089ED39">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1.紧扣时代脉搏，教学内容动态迭代</w:t>
      </w:r>
    </w:p>
    <w:p w14:paraId="07B31D68">
      <w:pPr>
        <w:spacing w:line="360" w:lineRule="auto"/>
        <w:ind w:firstLine="480" w:firstLineChars="200"/>
        <w:rPr>
          <w:rFonts w:ascii="宋体" w:hAnsi="宋体" w:eastAsia="宋体" w:cs="宋体"/>
          <w:sz w:val="24"/>
        </w:rPr>
      </w:pPr>
      <w:r>
        <w:rPr>
          <w:rFonts w:hint="eastAsia" w:ascii="宋体" w:hAnsi="宋体" w:eastAsia="宋体" w:cs="宋体"/>
          <w:sz w:val="24"/>
        </w:rPr>
        <w:t>本专业课程体系绝非静态知识的简单集合，而是始终保持与科技发展、产业变革及管理更新的同频共振。课程深度融入当前热点与前沿议题，如在《生产运营管理》中探讨人工智能和机器人的使用以及风险识别；在《商业模式与盈利模式管理》中分析研发费用和税务问题以及大数据算法等重点新兴领域；在《企业并购与技术作价入股》中引入多模型计价策略。</w:t>
      </w:r>
    </w:p>
    <w:p w14:paraId="5E26372D">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2.构建“学-训-战”一体化的能力锻造体系</w:t>
      </w:r>
    </w:p>
    <w:p w14:paraId="53911120">
      <w:pPr>
        <w:spacing w:line="360" w:lineRule="auto"/>
        <w:ind w:firstLine="480" w:firstLineChars="200"/>
        <w:rPr>
          <w:rFonts w:ascii="宋体" w:hAnsi="宋体" w:eastAsia="宋体" w:cs="宋体"/>
          <w:sz w:val="24"/>
        </w:rPr>
      </w:pPr>
      <w:r>
        <w:rPr>
          <w:rFonts w:hint="eastAsia" w:ascii="宋体" w:hAnsi="宋体" w:eastAsia="宋体" w:cs="宋体"/>
          <w:sz w:val="24"/>
        </w:rPr>
        <w:t>突破“重理论、轻实务”的传统教学模式，将实践能力的锤炼贯穿培养全过程。全面推行“校内导师+行业导师”协同授课，核心课程采用“真实/仿真项目驱动”教学法。学生将以小组形式，完成从“前期挖掘与评估</w:t>
      </w:r>
      <w:r>
        <w:rPr>
          <w:rFonts w:ascii="宋体" w:hAnsi="宋体" w:eastAsia="宋体" w:cs="宋体"/>
          <w:sz w:val="24"/>
        </w:rPr>
        <w:t>-交易洽谈与方案设计-协议签署与审批备案-履约实施与过程管控-成果收尾与持续运维</w:t>
      </w:r>
      <w:r>
        <w:rPr>
          <w:rFonts w:hint="eastAsia" w:ascii="宋体" w:hAnsi="宋体" w:eastAsia="宋体" w:cs="宋体"/>
          <w:sz w:val="24"/>
        </w:rPr>
        <w:t>”的全流程模拟实战，实现从知识接收到问题解决的能力跃迁。</w:t>
      </w:r>
    </w:p>
    <w:p w14:paraId="5EE9F582">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3.打破专业壁垒，催化“化学反应”</w:t>
      </w:r>
    </w:p>
    <w:p w14:paraId="5D685A51">
      <w:pPr>
        <w:spacing w:line="360" w:lineRule="auto"/>
        <w:ind w:firstLine="480" w:firstLineChars="200"/>
        <w:rPr>
          <w:rFonts w:ascii="宋体" w:hAnsi="宋体" w:eastAsia="宋体" w:cs="宋体"/>
          <w:sz w:val="24"/>
        </w:rPr>
      </w:pPr>
      <w:r>
        <w:rPr>
          <w:rFonts w:hint="eastAsia" w:ascii="宋体" w:hAnsi="宋体" w:eastAsia="宋体" w:cs="宋体"/>
          <w:sz w:val="24"/>
        </w:rPr>
        <w:t>本专业的核心价值在于实现技术转移和合规管理与不同主修专业的深度嫁接，而非简单叠加，课堂讨论与项目合作中，不同专业视角相互碰撞，激发创新解决方案，培养学生成为连接技术、法律与市场的“桥梁型人才”。</w:t>
      </w:r>
    </w:p>
    <w:p w14:paraId="419773CB">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4.秉承伦理初心，服务国家战略</w:t>
      </w:r>
    </w:p>
    <w:p w14:paraId="13620F20">
      <w:pPr>
        <w:spacing w:line="360" w:lineRule="auto"/>
        <w:ind w:firstLine="480" w:firstLineChars="200"/>
        <w:rPr>
          <w:rFonts w:ascii="宋体" w:hAnsi="宋体" w:eastAsia="宋体" w:cs="宋体"/>
          <w:sz w:val="24"/>
        </w:rPr>
      </w:pPr>
      <w:r>
        <w:rPr>
          <w:rFonts w:hint="eastAsia" w:ascii="宋体" w:hAnsi="宋体" w:eastAsia="宋体" w:cs="宋体"/>
          <w:sz w:val="24"/>
        </w:rPr>
        <w:t>专业教育不仅传授技能，更注重价值引领，培养学生服务长远发展的格局观。在《管理学》等课程中，嵌入对公共健康、绿色发展、技术伦理（如基因专利的道德边界）等全球性议题的讨论，引导学生思考技术转移如何服务于可持续发展目标。专业建设以服务“科技强国”和江苏省“强省建设”战略为自觉使命。通过引导学生研究地方重点产业的技术转移和合规管理问题，培养其运用专业知识服务区域创新驱动和产业转型升级的社会责任感，实现个人成长与国家发展的同向同行。</w:t>
      </w:r>
    </w:p>
    <w:p w14:paraId="701C330E">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四、资源保障</w:t>
      </w:r>
    </w:p>
    <w:p w14:paraId="70192943">
      <w:pPr>
        <w:spacing w:line="360" w:lineRule="auto"/>
        <w:ind w:firstLine="480" w:firstLineChars="200"/>
        <w:rPr>
          <w:rFonts w:ascii="宋体" w:hAnsi="宋体" w:eastAsia="宋体" w:cs="宋体"/>
          <w:sz w:val="24"/>
        </w:rPr>
      </w:pPr>
      <w:r>
        <w:rPr>
          <w:rFonts w:hint="eastAsia" w:ascii="宋体" w:hAnsi="宋体" w:eastAsia="宋体" w:cs="宋体"/>
          <w:sz w:val="24"/>
        </w:rPr>
        <w:t>为保障技术转移和合规管理微专业的高质量建设与可持续发展，我校已系统整合校内外优质资源，构建了全方位、多层次、高水平的教学支撑体系，为人才培养目标的实现提供坚实保障。</w:t>
      </w:r>
    </w:p>
    <w:p w14:paraId="75F9144A">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1.专兼结合、结构优化的“双师型”队伍</w:t>
      </w:r>
    </w:p>
    <w:p w14:paraId="03941BC0">
      <w:pPr>
        <w:spacing w:line="360" w:lineRule="auto"/>
        <w:ind w:firstLine="480" w:firstLineChars="200"/>
        <w:rPr>
          <w:rFonts w:ascii="宋体" w:hAnsi="宋体" w:eastAsia="宋体" w:cs="宋体"/>
          <w:sz w:val="24"/>
        </w:rPr>
      </w:pPr>
      <w:r>
        <w:rPr>
          <w:rFonts w:hint="eastAsia" w:ascii="宋体" w:hAnsi="宋体" w:eastAsia="宋体" w:cs="宋体"/>
          <w:sz w:val="24"/>
        </w:rPr>
        <w:t>本专业已组建一支实力雄厚、理论与实践深度融合的教学团队。团队以商学院具有高级职称或博士学位的专任教师为核心，长期从事技术转移教学与科研，与地方科技管理、技术转移服务机构及产业界深度合作，形成稳定的“实务专家资源库”，负责案例教学、专题讲座和实习指导。</w:t>
      </w:r>
    </w:p>
    <w:p w14:paraId="05E06794">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2.体系完备、持续更新的数字化教学库</w:t>
      </w:r>
    </w:p>
    <w:p w14:paraId="35AD14C4">
      <w:pPr>
        <w:spacing w:line="360" w:lineRule="auto"/>
        <w:ind w:firstLine="480" w:firstLineChars="200"/>
        <w:rPr>
          <w:rFonts w:ascii="宋体" w:hAnsi="宋体" w:eastAsia="宋体" w:cs="宋体"/>
          <w:sz w:val="24"/>
        </w:rPr>
      </w:pPr>
      <w:r>
        <w:rPr>
          <w:rFonts w:hint="eastAsia" w:ascii="宋体" w:hAnsi="宋体" w:eastAsia="宋体" w:cs="宋体"/>
          <w:sz w:val="24"/>
        </w:rPr>
        <w:t>核心课程多源自商学院本科专业开设多年的成熟课程，拥有经过反复打磨的教学大纲、教案、课件、案例集与习题库。相关课程在学校网络教学平台建有在线课程空间，持续上传和更新微课视频、电子教案、拓展阅读文献及在线测试题库，支持学生随时随地自主学习与互动。</w:t>
      </w:r>
    </w:p>
    <w:p w14:paraId="6B713592">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3.虚实结合、内外联动的实践生态</w:t>
      </w:r>
    </w:p>
    <w:p w14:paraId="31565700">
      <w:pPr>
        <w:spacing w:line="360" w:lineRule="auto"/>
        <w:ind w:firstLine="480" w:firstLineChars="200"/>
        <w:rPr>
          <w:rFonts w:ascii="宋体" w:hAnsi="宋体" w:eastAsia="宋体" w:cs="宋体"/>
          <w:sz w:val="24"/>
        </w:rPr>
      </w:pPr>
      <w:r>
        <w:rPr>
          <w:rFonts w:hint="eastAsia" w:ascii="宋体" w:hAnsi="宋体" w:eastAsia="宋体" w:cs="宋体"/>
          <w:sz w:val="24"/>
        </w:rPr>
        <w:t>商学院报告厅、案例讨论室可用于开展技术转移和合规管理实训；学校图书馆计算机资源可为技术转移与检索分析提供硬件支持。与多家单位签订了联合培养协议，每年可接纳学生进行认知实习、暑期实践和毕业实习。积极组织并指导学生参与</w:t>
      </w:r>
      <w:r>
        <w:rPr>
          <w:rFonts w:ascii="宋体" w:hAnsi="宋体" w:eastAsia="宋体" w:cs="宋体"/>
          <w:sz w:val="24"/>
        </w:rPr>
        <w:t>全国大学生市场调查与分析大赛</w:t>
      </w:r>
      <w:r>
        <w:rPr>
          <w:rFonts w:hint="eastAsia" w:ascii="宋体" w:hAnsi="宋体" w:eastAsia="宋体" w:cs="宋体"/>
          <w:sz w:val="24"/>
        </w:rPr>
        <w:t>、</w:t>
      </w:r>
      <w:r>
        <w:rPr>
          <w:rFonts w:ascii="宋体" w:hAnsi="宋体" w:eastAsia="宋体" w:cs="宋体"/>
          <w:sz w:val="24"/>
        </w:rPr>
        <w:t>全国大学生电子商务 “三创” 挑战赛</w:t>
      </w:r>
      <w:r>
        <w:rPr>
          <w:rFonts w:hint="eastAsia" w:ascii="宋体" w:hAnsi="宋体" w:eastAsia="宋体" w:cs="宋体"/>
          <w:sz w:val="24"/>
        </w:rPr>
        <w:t>和</w:t>
      </w:r>
      <w:r>
        <w:rPr>
          <w:rFonts w:ascii="宋体" w:hAnsi="宋体" w:eastAsia="宋体" w:cs="宋体"/>
          <w:sz w:val="24"/>
        </w:rPr>
        <w:t>全国大学生物流设计大赛</w:t>
      </w:r>
      <w:r>
        <w:rPr>
          <w:rFonts w:hint="eastAsia" w:ascii="宋体" w:hAnsi="宋体" w:eastAsia="宋体" w:cs="宋体"/>
          <w:sz w:val="24"/>
        </w:rPr>
        <w:t>等</w:t>
      </w:r>
      <w:r>
        <w:rPr>
          <w:rFonts w:ascii="宋体" w:hAnsi="宋体" w:eastAsia="宋体" w:cs="宋体"/>
          <w:sz w:val="24"/>
        </w:rPr>
        <w:t>。</w:t>
      </w:r>
    </w:p>
    <w:p w14:paraId="40C0BDA6">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4.保障有力、便捷高效的文献数据系统</w:t>
      </w:r>
    </w:p>
    <w:p w14:paraId="23961F7C">
      <w:pPr>
        <w:spacing w:line="360" w:lineRule="auto"/>
        <w:ind w:firstLine="480" w:firstLineChars="200"/>
        <w:rPr>
          <w:rFonts w:ascii="宋体" w:hAnsi="宋体" w:eastAsia="宋体" w:cs="宋体"/>
          <w:sz w:val="24"/>
        </w:rPr>
      </w:pPr>
      <w:r>
        <w:rPr>
          <w:rFonts w:hint="eastAsia" w:ascii="宋体" w:hAnsi="宋体" w:eastAsia="宋体" w:cs="宋体"/>
          <w:sz w:val="24"/>
        </w:rPr>
        <w:t>学校图书馆馆藏丰富，订购了工商管理领域的核心中外文期刊、学术专著及电子图书。同时，已开通或可申请试用科易网、中国国际科技交流中心、各级政府知识产权和技术转移有关数据等知名数据库，可根据专业发展需要，灵活增订相关文献资源。</w:t>
      </w:r>
    </w:p>
    <w:p w14:paraId="755DFA48">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五、招生对象及条件</w:t>
      </w:r>
    </w:p>
    <w:p w14:paraId="5092503E">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（一）招生对象：</w:t>
      </w:r>
      <w:r>
        <w:rPr>
          <w:rFonts w:hint="eastAsia" w:ascii="宋体" w:hAnsi="宋体" w:eastAsia="宋体" w:cs="宋体"/>
          <w:sz w:val="24"/>
        </w:rPr>
        <w:t>全日制在校生</w:t>
      </w:r>
    </w:p>
    <w:p w14:paraId="155B4ADE">
      <w:pPr>
        <w:spacing w:line="360" w:lineRule="auto"/>
        <w:ind w:firstLine="440" w:firstLineChars="200"/>
        <w:rPr>
          <w:rFonts w:ascii="宋体" w:hAnsi="宋体" w:eastAsia="宋体" w:cs="宋体"/>
          <w:color w:val="000000" w:themeColor="text1"/>
          <w:sz w:val="24"/>
          <w14:textFill>
            <w14:solidFill>
              <w14:schemeClr w14:val="tx1"/>
            </w14:solidFill>
          </w14:textFill>
        </w:rPr>
      </w:pPr>
      <w:r>
        <w:rPr>
          <w:rFonts w:hint="eastAsia" w:ascii="等线" w:hAnsi="等线" w:eastAsia="等线" w:cs="等线"/>
          <w:b/>
          <w:bCs/>
          <w:szCs w:val="22"/>
        </w:rPr>
        <w:t>（二）计划招生人数：</w:t>
      </w:r>
      <w:r>
        <w:rPr>
          <w:rFonts w:hint="eastAsia" w:ascii="宋体" w:hAnsi="宋体" w:eastAsia="宋体" w:cs="宋体"/>
          <w:color w:val="000000" w:themeColor="text1"/>
          <w:sz w:val="24"/>
          <w14:textFill>
            <w14:solidFill>
              <w14:schemeClr w14:val="tx1"/>
            </w14:solidFill>
          </w14:textFill>
        </w:rPr>
        <w:t>计划招生60人</w:t>
      </w:r>
    </w:p>
    <w:p w14:paraId="2FF499A3">
      <w:pPr>
        <w:spacing w:line="360" w:lineRule="auto"/>
        <w:ind w:firstLine="440" w:firstLineChars="200"/>
        <w:rPr>
          <w:rFonts w:ascii="宋体" w:hAnsi="宋体" w:eastAsia="宋体" w:cs="宋体"/>
          <w:color w:val="000000" w:themeColor="text1"/>
          <w:sz w:val="24"/>
          <w14:textFill>
            <w14:solidFill>
              <w14:schemeClr w14:val="tx1"/>
            </w14:solidFill>
          </w14:textFill>
        </w:rPr>
      </w:pPr>
      <w:r>
        <w:rPr>
          <w:rFonts w:hint="eastAsia" w:ascii="等线" w:hAnsi="等线" w:eastAsia="等线" w:cs="等线"/>
          <w:b/>
          <w:bCs/>
          <w:szCs w:val="22"/>
        </w:rPr>
        <w:t>（三）学制、学分：</w:t>
      </w:r>
      <w:r>
        <w:rPr>
          <w:rFonts w:hint="eastAsia" w:ascii="宋体" w:hAnsi="宋体" w:eastAsia="宋体" w:cs="宋体"/>
          <w:color w:val="000000" w:themeColor="text1"/>
          <w:sz w:val="24"/>
          <w14:textFill>
            <w14:solidFill>
              <w14:schemeClr w14:val="tx1"/>
            </w14:solidFill>
          </w14:textFill>
        </w:rPr>
        <w:t>学制1年，</w:t>
      </w:r>
      <w:r>
        <w:rPr>
          <w:rFonts w:hint="eastAsia" w:ascii="宋体" w:hAnsi="宋体" w:eastAsia="宋体" w:cs="宋体"/>
          <w:color w:val="000000" w:themeColor="text1"/>
          <w:sz w:val="24"/>
          <w:lang w:val="en-US" w:eastAsia="zh-CN"/>
          <w14:textFill>
            <w14:solidFill>
              <w14:schemeClr w14:val="tx1"/>
            </w14:solidFill>
          </w14:textFill>
        </w:rPr>
        <w:t>9</w:t>
      </w:r>
      <w:r>
        <w:rPr>
          <w:rFonts w:hint="eastAsia" w:ascii="宋体" w:hAnsi="宋体" w:eastAsia="宋体" w:cs="宋体"/>
          <w:color w:val="000000" w:themeColor="text1"/>
          <w:sz w:val="24"/>
          <w14:textFill>
            <w14:solidFill>
              <w14:schemeClr w14:val="tx1"/>
            </w14:solidFill>
          </w14:textFill>
        </w:rPr>
        <w:t>学分</w:t>
      </w:r>
    </w:p>
    <w:p w14:paraId="730FE21B">
      <w:pPr>
        <w:spacing w:line="360" w:lineRule="auto"/>
        <w:ind w:firstLine="440" w:firstLineChars="200"/>
        <w:rPr>
          <w:rFonts w:ascii="宋体" w:hAnsi="宋体" w:eastAsia="宋体" w:cs="宋体"/>
          <w:color w:val="000000" w:themeColor="text1"/>
          <w:sz w:val="24"/>
          <w14:textFill>
            <w14:solidFill>
              <w14:schemeClr w14:val="tx1"/>
            </w14:solidFill>
          </w14:textFill>
        </w:rPr>
      </w:pPr>
      <w:r>
        <w:rPr>
          <w:rFonts w:hint="eastAsia" w:ascii="等线" w:hAnsi="等线" w:eastAsia="等线" w:cs="等线"/>
          <w:b/>
          <w:bCs/>
          <w:szCs w:val="22"/>
        </w:rPr>
        <w:t>（四）收费标准：</w:t>
      </w:r>
      <w:r>
        <w:rPr>
          <w:rFonts w:hint="eastAsia" w:ascii="宋体" w:hAnsi="宋体" w:eastAsia="宋体" w:cs="宋体"/>
          <w:color w:val="000000" w:themeColor="text1"/>
          <w:sz w:val="24"/>
          <w:lang w:val="en-US" w:eastAsia="zh-CN"/>
          <w14:textFill>
            <w14:solidFill>
              <w14:schemeClr w14:val="tx1"/>
            </w14:solidFill>
          </w14:textFill>
        </w:rPr>
        <w:t>80</w:t>
      </w:r>
      <w:r>
        <w:rPr>
          <w:rFonts w:hint="eastAsia" w:ascii="宋体" w:hAnsi="宋体" w:eastAsia="宋体" w:cs="宋体"/>
          <w:color w:val="000000" w:themeColor="text1"/>
          <w:sz w:val="24"/>
          <w14:textFill>
            <w14:solidFill>
              <w14:schemeClr w14:val="tx1"/>
            </w14:solidFill>
          </w14:textFill>
        </w:rPr>
        <w:t xml:space="preserve">元/学分，合计 </w:t>
      </w:r>
      <w:r>
        <w:rPr>
          <w:rFonts w:hint="eastAsia" w:ascii="宋体" w:hAnsi="宋体" w:eastAsia="宋体" w:cs="宋体"/>
          <w:color w:val="000000" w:themeColor="text1"/>
          <w:sz w:val="24"/>
          <w:lang w:val="en-US" w:eastAsia="zh-CN"/>
          <w14:textFill>
            <w14:solidFill>
              <w14:schemeClr w14:val="tx1"/>
            </w14:solidFill>
          </w14:textFill>
        </w:rPr>
        <w:t>720</w:t>
      </w:r>
      <w:r>
        <w:rPr>
          <w:rFonts w:hint="eastAsia" w:ascii="宋体" w:hAnsi="宋体" w:eastAsia="宋体" w:cs="宋体"/>
          <w:color w:val="000000" w:themeColor="text1"/>
          <w:sz w:val="24"/>
          <w14:textFill>
            <w14:solidFill>
              <w14:schemeClr w14:val="tx1"/>
            </w14:solidFill>
          </w14:textFill>
        </w:rPr>
        <w:t>元</w:t>
      </w:r>
    </w:p>
    <w:p w14:paraId="0E007507">
      <w:pPr>
        <w:spacing w:line="360" w:lineRule="auto"/>
        <w:ind w:firstLine="440" w:firstLineChars="200"/>
        <w:rPr>
          <w:rFonts w:ascii="宋体" w:hAnsi="宋体" w:eastAsia="宋体" w:cs="宋体"/>
          <w:color w:val="000000" w:themeColor="text1"/>
          <w:sz w:val="24"/>
          <w14:textFill>
            <w14:solidFill>
              <w14:schemeClr w14:val="tx1"/>
            </w14:solidFill>
          </w14:textFill>
        </w:rPr>
      </w:pPr>
      <w:r>
        <w:rPr>
          <w:rFonts w:hint="eastAsia" w:ascii="等线" w:hAnsi="等线" w:eastAsia="等线" w:cs="等线"/>
          <w:b/>
          <w:bCs/>
          <w:szCs w:val="22"/>
        </w:rPr>
        <w:t>（五）授课方式：</w:t>
      </w:r>
      <w:r>
        <w:rPr>
          <w:rFonts w:hint="eastAsia" w:ascii="宋体" w:hAnsi="宋体" w:eastAsia="宋体" w:cs="宋体"/>
          <w:color w:val="000000" w:themeColor="text1"/>
          <w:sz w:val="24"/>
          <w14:textFill>
            <w14:solidFill>
              <w14:schemeClr w14:val="tx1"/>
            </w14:solidFill>
          </w14:textFill>
        </w:rPr>
        <w:t>本微专业独立开班，学制一年，利用课余时间授课。线上线下混合式授课。</w:t>
      </w:r>
    </w:p>
    <w:p w14:paraId="49C805DD">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六、学分认定与证书授予</w:t>
      </w:r>
    </w:p>
    <w:p w14:paraId="442A031D">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学生完成微专业培养方案规定的课程并达到学习要求，由微专业所在学院审核后提出结业名单，报教务处备案，由教务处统一颁发结业证书和成绩单；微专业是非学历教育，不授予学位。</w:t>
      </w:r>
      <w:r>
        <w:rPr>
          <w:rFonts w:hint="eastAsia" w:ascii="宋体" w:hAnsi="宋体" w:eastAsia="宋体" w:cs="宋体"/>
          <w:color w:val="000000" w:themeColor="text1"/>
          <w:sz w:val="24"/>
          <w:lang w:eastAsia="zh-CN"/>
          <w14:textFill>
            <w14:solidFill>
              <w14:schemeClr w14:val="tx1"/>
            </w14:solidFill>
          </w14:textFill>
        </w:rPr>
        <w:t>如果</w:t>
      </w:r>
      <w:r>
        <w:rPr>
          <w:rFonts w:hint="eastAsia" w:ascii="宋体" w:hAnsi="宋体" w:eastAsia="宋体" w:cs="宋体"/>
          <w:color w:val="000000" w:themeColor="text1"/>
          <w:sz w:val="24"/>
          <w:lang w:val="en-US" w:eastAsia="zh-CN"/>
          <w14:textFill>
            <w14:solidFill>
              <w14:schemeClr w14:val="tx1"/>
            </w14:solidFill>
          </w14:textFill>
        </w:rPr>
        <w:t>本</w:t>
      </w:r>
      <w:r>
        <w:rPr>
          <w:rFonts w:hint="eastAsia" w:ascii="宋体" w:hAnsi="宋体" w:eastAsia="宋体" w:cs="宋体"/>
          <w:color w:val="000000" w:themeColor="text1"/>
          <w:sz w:val="24"/>
          <w:lang w:eastAsia="zh-CN"/>
          <w14:textFill>
            <w14:solidFill>
              <w14:schemeClr w14:val="tx1"/>
            </w14:solidFill>
          </w14:textFill>
        </w:rPr>
        <w:t>微专业成功入库教育部学信网</w:t>
      </w:r>
      <w:r>
        <w:rPr>
          <w:rFonts w:hint="eastAsia" w:ascii="宋体" w:hAnsi="宋体" w:eastAsia="宋体" w:cs="宋体"/>
          <w:color w:val="000000" w:themeColor="text1"/>
          <w:sz w:val="24"/>
          <w:lang w:val="en-US" w:eastAsia="zh-CN"/>
          <w14:textFill>
            <w14:solidFill>
              <w14:schemeClr w14:val="tx1"/>
            </w14:solidFill>
          </w14:textFill>
        </w:rPr>
        <w:t>获得</w:t>
      </w:r>
      <w:r>
        <w:rPr>
          <w:rFonts w:hint="eastAsia" w:ascii="宋体" w:hAnsi="宋体" w:eastAsia="宋体" w:cs="宋体"/>
          <w:color w:val="000000" w:themeColor="text1"/>
          <w:sz w:val="24"/>
          <w:lang w:eastAsia="zh-CN"/>
          <w14:textFill>
            <w14:solidFill>
              <w14:schemeClr w14:val="tx1"/>
            </w14:solidFill>
          </w14:textFill>
        </w:rPr>
        <w:t>备案，毕业生及用人单位可登录学信网查询相关修读信息。</w:t>
      </w:r>
    </w:p>
    <w:p w14:paraId="05630F9F">
      <w:pPr>
        <w:spacing w:line="360" w:lineRule="auto"/>
        <w:ind w:firstLine="440" w:firstLineChars="200"/>
        <w:rPr>
          <w:rFonts w:hint="eastAsia" w:ascii="等线" w:hAnsi="等线" w:eastAsia="等线" w:cs="等线"/>
          <w:b/>
          <w:bCs/>
          <w:szCs w:val="22"/>
        </w:rPr>
      </w:pPr>
      <w:r>
        <w:rPr>
          <w:rFonts w:hint="eastAsia" w:ascii="等线" w:hAnsi="等线" w:eastAsia="等线" w:cs="等线"/>
          <w:b/>
          <w:bCs/>
          <w:szCs w:val="22"/>
        </w:rPr>
        <w:t>七、微专业课程</w:t>
      </w:r>
      <w:bookmarkStart w:id="5" w:name="_GoBack"/>
      <w:bookmarkEnd w:id="5"/>
    </w:p>
    <w:p w14:paraId="42218E68">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（一）课程设置及学时分配表</w:t>
      </w:r>
    </w:p>
    <w:tbl>
      <w:tblPr>
        <w:tblStyle w:val="16"/>
        <w:tblW w:w="5000" w:type="pct"/>
        <w:jc w:val="center"/>
        <w:tblLayout w:type="autofit"/>
        <w:tblCellMar>
          <w:top w:w="0" w:type="dxa"/>
          <w:left w:w="0" w:type="dxa"/>
          <w:bottom w:w="0" w:type="dxa"/>
          <w:right w:w="0" w:type="dxa"/>
        </w:tblCellMar>
      </w:tblPr>
      <w:tblGrid>
        <w:gridCol w:w="848"/>
        <w:gridCol w:w="3121"/>
        <w:gridCol w:w="853"/>
        <w:gridCol w:w="851"/>
        <w:gridCol w:w="1280"/>
        <w:gridCol w:w="1359"/>
      </w:tblGrid>
      <w:tr w14:paraId="6F77B0E0">
        <w:tblPrEx>
          <w:tblCellMar>
            <w:top w:w="0" w:type="dxa"/>
            <w:left w:w="0" w:type="dxa"/>
            <w:bottom w:w="0" w:type="dxa"/>
            <w:right w:w="0" w:type="dxa"/>
          </w:tblCellMar>
        </w:tblPrEx>
        <w:trPr>
          <w:trHeight w:val="521" w:hRule="atLeast"/>
          <w:jc w:val="center"/>
        </w:trPr>
        <w:tc>
          <w:tcPr>
            <w:tcW w:w="51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3ED24F8">
            <w:pPr>
              <w:spacing w:line="360" w:lineRule="auto"/>
              <w:jc w:val="center"/>
              <w:rPr>
                <w:rFonts w:ascii="等线" w:hAnsi="等线" w:eastAsia="等线" w:cs="等线"/>
                <w:b/>
                <w:bCs/>
                <w:szCs w:val="22"/>
              </w:rPr>
            </w:pPr>
            <w:r>
              <w:rPr>
                <w:rFonts w:hint="eastAsia" w:ascii="等线" w:hAnsi="等线" w:eastAsia="等线" w:cs="等线"/>
                <w:b/>
                <w:bCs/>
                <w:szCs w:val="22"/>
              </w:rPr>
              <w:t>序号</w:t>
            </w:r>
          </w:p>
        </w:tc>
        <w:tc>
          <w:tcPr>
            <w:tcW w:w="187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6CC73AA6">
            <w:pPr>
              <w:spacing w:line="360" w:lineRule="auto"/>
              <w:jc w:val="center"/>
              <w:rPr>
                <w:rFonts w:ascii="等线" w:hAnsi="等线" w:eastAsia="等线" w:cs="等线"/>
                <w:b/>
                <w:bCs/>
                <w:szCs w:val="22"/>
              </w:rPr>
            </w:pPr>
            <w:r>
              <w:rPr>
                <w:rFonts w:hint="eastAsia" w:ascii="等线" w:hAnsi="等线" w:eastAsia="等线" w:cs="等线"/>
                <w:b/>
                <w:bCs/>
                <w:szCs w:val="22"/>
              </w:rPr>
              <w:t>课程名称</w:t>
            </w:r>
          </w:p>
        </w:tc>
        <w:tc>
          <w:tcPr>
            <w:tcW w:w="51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4C5779D1">
            <w:pPr>
              <w:spacing w:line="360" w:lineRule="auto"/>
              <w:jc w:val="center"/>
              <w:rPr>
                <w:rFonts w:ascii="等线" w:hAnsi="等线" w:eastAsia="等线" w:cs="等线"/>
                <w:b/>
                <w:bCs/>
                <w:szCs w:val="22"/>
              </w:rPr>
            </w:pPr>
            <w:r>
              <w:rPr>
                <w:rFonts w:hint="eastAsia" w:ascii="等线" w:hAnsi="等线" w:eastAsia="等线" w:cs="等线"/>
                <w:b/>
                <w:bCs/>
                <w:szCs w:val="22"/>
              </w:rPr>
              <w:t>学分</w:t>
            </w:r>
          </w:p>
        </w:tc>
        <w:tc>
          <w:tcPr>
            <w:tcW w:w="51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4A9B88E">
            <w:pPr>
              <w:spacing w:line="360" w:lineRule="auto"/>
              <w:jc w:val="center"/>
              <w:rPr>
                <w:rFonts w:ascii="等线" w:hAnsi="等线" w:eastAsia="等线" w:cs="等线"/>
                <w:b/>
                <w:bCs/>
                <w:szCs w:val="22"/>
              </w:rPr>
            </w:pPr>
            <w:r>
              <w:rPr>
                <w:rFonts w:hint="eastAsia" w:ascii="等线" w:hAnsi="等线" w:eastAsia="等线" w:cs="等线"/>
                <w:b/>
                <w:bCs/>
                <w:szCs w:val="22"/>
              </w:rPr>
              <w:t>学时</w:t>
            </w:r>
          </w:p>
        </w:tc>
        <w:tc>
          <w:tcPr>
            <w:tcW w:w="7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7159F182">
            <w:pPr>
              <w:spacing w:line="360" w:lineRule="auto"/>
              <w:jc w:val="center"/>
              <w:rPr>
                <w:rFonts w:ascii="等线" w:hAnsi="等线" w:eastAsia="等线" w:cs="等线"/>
                <w:b/>
                <w:bCs/>
                <w:szCs w:val="22"/>
              </w:rPr>
            </w:pPr>
            <w:r>
              <w:rPr>
                <w:rFonts w:hint="eastAsia" w:ascii="等线" w:hAnsi="等线" w:eastAsia="等线" w:cs="等线"/>
                <w:b/>
                <w:bCs/>
                <w:szCs w:val="22"/>
              </w:rPr>
              <w:t>开设学期</w:t>
            </w:r>
          </w:p>
        </w:tc>
        <w:tc>
          <w:tcPr>
            <w:tcW w:w="8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514150B8">
            <w:pPr>
              <w:spacing w:line="360" w:lineRule="auto"/>
              <w:jc w:val="center"/>
              <w:rPr>
                <w:rFonts w:ascii="等线" w:hAnsi="等线" w:eastAsia="等线" w:cs="等线"/>
                <w:b/>
                <w:bCs/>
                <w:szCs w:val="22"/>
              </w:rPr>
            </w:pPr>
            <w:r>
              <w:rPr>
                <w:rFonts w:hint="eastAsia" w:ascii="等线" w:hAnsi="等线" w:eastAsia="等线" w:cs="等线"/>
                <w:b/>
                <w:bCs/>
                <w:szCs w:val="22"/>
              </w:rPr>
              <w:t>课程性质</w:t>
            </w:r>
          </w:p>
        </w:tc>
      </w:tr>
      <w:tr w14:paraId="71F6CB91">
        <w:tblPrEx>
          <w:tblCellMar>
            <w:top w:w="0" w:type="dxa"/>
            <w:left w:w="0" w:type="dxa"/>
            <w:bottom w:w="0" w:type="dxa"/>
            <w:right w:w="0" w:type="dxa"/>
          </w:tblCellMar>
        </w:tblPrEx>
        <w:trPr>
          <w:trHeight w:val="521" w:hRule="atLeast"/>
          <w:jc w:val="center"/>
        </w:trPr>
        <w:tc>
          <w:tcPr>
            <w:tcW w:w="51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0938A9A">
            <w:pPr>
              <w:spacing w:line="360" w:lineRule="auto"/>
              <w:jc w:val="center"/>
              <w:rPr>
                <w:rFonts w:ascii="宋体" w:hAnsi="宋体" w:eastAsia="宋体" w:cs="宋体"/>
                <w:sz w:val="24"/>
              </w:rPr>
            </w:pPr>
            <w:r>
              <w:rPr>
                <w:rFonts w:hint="eastAsia" w:ascii="宋体" w:hAnsi="宋体" w:eastAsia="宋体" w:cs="宋体"/>
                <w:sz w:val="24"/>
              </w:rPr>
              <w:t>1</w:t>
            </w:r>
          </w:p>
        </w:tc>
        <w:tc>
          <w:tcPr>
            <w:tcW w:w="187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6910B6C5">
            <w:pPr>
              <w:spacing w:line="360" w:lineRule="auto"/>
              <w:jc w:val="center"/>
              <w:rPr>
                <w:rFonts w:ascii="宋体" w:hAnsi="宋体" w:eastAsia="宋体" w:cs="宋体"/>
                <w:sz w:val="24"/>
              </w:rPr>
            </w:pPr>
            <w:bookmarkStart w:id="3" w:name="_Hlk168565787"/>
            <w:bookmarkEnd w:id="3"/>
            <w:r>
              <w:rPr>
                <w:rFonts w:hint="eastAsia" w:ascii="宋体" w:hAnsi="宋体" w:eastAsia="宋体" w:cs="宋体"/>
                <w:sz w:val="24"/>
              </w:rPr>
              <w:t>管理学</w:t>
            </w:r>
          </w:p>
        </w:tc>
        <w:tc>
          <w:tcPr>
            <w:tcW w:w="51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6C3BEDC">
            <w:pPr>
              <w:spacing w:line="360" w:lineRule="auto"/>
              <w:jc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1.5</w:t>
            </w:r>
          </w:p>
        </w:tc>
        <w:tc>
          <w:tcPr>
            <w:tcW w:w="51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78BDCA4F">
            <w:pPr>
              <w:spacing w:line="360" w:lineRule="auto"/>
              <w:jc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24</w:t>
            </w:r>
          </w:p>
        </w:tc>
        <w:tc>
          <w:tcPr>
            <w:tcW w:w="7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0366B4E4">
            <w:pPr>
              <w:spacing w:line="360" w:lineRule="auto"/>
              <w:jc w:val="center"/>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秋季学期</w:t>
            </w:r>
          </w:p>
        </w:tc>
        <w:tc>
          <w:tcPr>
            <w:tcW w:w="8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59573F58">
            <w:pPr>
              <w:spacing w:line="360" w:lineRule="auto"/>
              <w:jc w:val="center"/>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必修</w:t>
            </w:r>
          </w:p>
        </w:tc>
      </w:tr>
      <w:tr w14:paraId="208A0DDB">
        <w:tblPrEx>
          <w:tblCellMar>
            <w:top w:w="0" w:type="dxa"/>
            <w:left w:w="0" w:type="dxa"/>
            <w:bottom w:w="0" w:type="dxa"/>
            <w:right w:w="0" w:type="dxa"/>
          </w:tblCellMar>
        </w:tblPrEx>
        <w:trPr>
          <w:trHeight w:val="522" w:hRule="atLeast"/>
          <w:jc w:val="center"/>
        </w:trPr>
        <w:tc>
          <w:tcPr>
            <w:tcW w:w="51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4169D11">
            <w:pPr>
              <w:spacing w:line="360" w:lineRule="auto"/>
              <w:jc w:val="center"/>
              <w:rPr>
                <w:rFonts w:ascii="宋体" w:hAnsi="宋体" w:eastAsia="宋体" w:cs="宋体"/>
                <w:sz w:val="24"/>
              </w:rPr>
            </w:pPr>
            <w:r>
              <w:rPr>
                <w:rFonts w:hint="eastAsia" w:ascii="宋体" w:hAnsi="宋体" w:eastAsia="宋体" w:cs="宋体"/>
                <w:sz w:val="24"/>
              </w:rPr>
              <w:t>2</w:t>
            </w:r>
          </w:p>
        </w:tc>
        <w:tc>
          <w:tcPr>
            <w:tcW w:w="187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76285EB8">
            <w:pPr>
              <w:spacing w:line="360" w:lineRule="auto"/>
              <w:jc w:val="center"/>
              <w:rPr>
                <w:rFonts w:ascii="宋体" w:hAnsi="宋体" w:eastAsia="宋体" w:cs="宋体"/>
                <w:sz w:val="24"/>
              </w:rPr>
            </w:pPr>
            <w:r>
              <w:rPr>
                <w:rFonts w:hint="eastAsia" w:ascii="宋体" w:hAnsi="宋体" w:eastAsia="宋体" w:cs="宋体"/>
                <w:sz w:val="24"/>
              </w:rPr>
              <w:t>生产运营管理</w:t>
            </w:r>
          </w:p>
        </w:tc>
        <w:tc>
          <w:tcPr>
            <w:tcW w:w="51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61ABD126">
            <w:pPr>
              <w:spacing w:line="360" w:lineRule="auto"/>
              <w:jc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1.5</w:t>
            </w:r>
          </w:p>
        </w:tc>
        <w:tc>
          <w:tcPr>
            <w:tcW w:w="51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6D416ED0">
            <w:pPr>
              <w:spacing w:line="360" w:lineRule="auto"/>
              <w:jc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24</w:t>
            </w:r>
          </w:p>
        </w:tc>
        <w:tc>
          <w:tcPr>
            <w:tcW w:w="7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57759FC7">
            <w:pPr>
              <w:spacing w:line="360" w:lineRule="auto"/>
              <w:jc w:val="center"/>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秋季学期</w:t>
            </w:r>
          </w:p>
        </w:tc>
        <w:tc>
          <w:tcPr>
            <w:tcW w:w="8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DF30E38">
            <w:pPr>
              <w:spacing w:line="360" w:lineRule="auto"/>
              <w:jc w:val="center"/>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必修</w:t>
            </w:r>
          </w:p>
        </w:tc>
      </w:tr>
      <w:tr w14:paraId="6AB91FD3">
        <w:tblPrEx>
          <w:tblCellMar>
            <w:top w:w="0" w:type="dxa"/>
            <w:left w:w="0" w:type="dxa"/>
            <w:bottom w:w="0" w:type="dxa"/>
            <w:right w:w="0" w:type="dxa"/>
          </w:tblCellMar>
        </w:tblPrEx>
        <w:trPr>
          <w:trHeight w:val="521" w:hRule="atLeast"/>
          <w:jc w:val="center"/>
        </w:trPr>
        <w:tc>
          <w:tcPr>
            <w:tcW w:w="51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B1A8F94">
            <w:pPr>
              <w:spacing w:line="360" w:lineRule="auto"/>
              <w:jc w:val="center"/>
              <w:rPr>
                <w:rFonts w:ascii="宋体" w:hAnsi="宋体" w:eastAsia="宋体" w:cs="宋体"/>
                <w:sz w:val="24"/>
              </w:rPr>
            </w:pPr>
            <w:r>
              <w:rPr>
                <w:rFonts w:hint="eastAsia" w:ascii="宋体" w:hAnsi="宋体" w:eastAsia="宋体" w:cs="宋体"/>
                <w:sz w:val="24"/>
              </w:rPr>
              <w:t>3</w:t>
            </w:r>
          </w:p>
        </w:tc>
        <w:tc>
          <w:tcPr>
            <w:tcW w:w="187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0FA36A76">
            <w:pPr>
              <w:spacing w:line="360" w:lineRule="auto"/>
              <w:jc w:val="center"/>
              <w:rPr>
                <w:rFonts w:ascii="宋体" w:hAnsi="宋体" w:eastAsia="宋体" w:cs="宋体"/>
                <w:sz w:val="24"/>
              </w:rPr>
            </w:pPr>
            <w:r>
              <w:rPr>
                <w:rFonts w:hint="eastAsia" w:ascii="宋体" w:hAnsi="宋体" w:eastAsia="宋体" w:cs="宋体"/>
                <w:sz w:val="24"/>
              </w:rPr>
              <w:t>商业模式与盈利模式管理</w:t>
            </w:r>
          </w:p>
        </w:tc>
        <w:tc>
          <w:tcPr>
            <w:tcW w:w="51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7BFC174E">
            <w:pPr>
              <w:spacing w:line="360" w:lineRule="auto"/>
              <w:jc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1.5</w:t>
            </w:r>
          </w:p>
        </w:tc>
        <w:tc>
          <w:tcPr>
            <w:tcW w:w="51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6C694D97">
            <w:pPr>
              <w:spacing w:line="360" w:lineRule="auto"/>
              <w:jc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24</w:t>
            </w:r>
          </w:p>
        </w:tc>
        <w:tc>
          <w:tcPr>
            <w:tcW w:w="7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67AB7303">
            <w:pPr>
              <w:spacing w:line="360" w:lineRule="auto"/>
              <w:jc w:val="center"/>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秋季学期</w:t>
            </w:r>
          </w:p>
        </w:tc>
        <w:tc>
          <w:tcPr>
            <w:tcW w:w="8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77AD0074">
            <w:pPr>
              <w:spacing w:line="360" w:lineRule="auto"/>
              <w:jc w:val="center"/>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必修</w:t>
            </w:r>
          </w:p>
        </w:tc>
      </w:tr>
      <w:tr w14:paraId="0F4DA614">
        <w:tblPrEx>
          <w:tblCellMar>
            <w:top w:w="0" w:type="dxa"/>
            <w:left w:w="0" w:type="dxa"/>
            <w:bottom w:w="0" w:type="dxa"/>
            <w:right w:w="0" w:type="dxa"/>
          </w:tblCellMar>
        </w:tblPrEx>
        <w:trPr>
          <w:trHeight w:val="522" w:hRule="atLeast"/>
          <w:jc w:val="center"/>
        </w:trPr>
        <w:tc>
          <w:tcPr>
            <w:tcW w:w="51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4D5F191">
            <w:pPr>
              <w:spacing w:line="360" w:lineRule="auto"/>
              <w:jc w:val="center"/>
              <w:rPr>
                <w:rFonts w:ascii="宋体" w:hAnsi="宋体" w:eastAsia="宋体" w:cs="宋体"/>
                <w:sz w:val="24"/>
              </w:rPr>
            </w:pPr>
            <w:r>
              <w:rPr>
                <w:rFonts w:hint="eastAsia" w:ascii="宋体" w:hAnsi="宋体" w:eastAsia="宋体" w:cs="宋体"/>
                <w:sz w:val="24"/>
              </w:rPr>
              <w:t>4</w:t>
            </w:r>
          </w:p>
        </w:tc>
        <w:tc>
          <w:tcPr>
            <w:tcW w:w="187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49CC3FF8">
            <w:pPr>
              <w:spacing w:line="360" w:lineRule="auto"/>
              <w:jc w:val="center"/>
              <w:rPr>
                <w:rFonts w:ascii="宋体" w:hAnsi="宋体" w:eastAsia="宋体" w:cs="宋体"/>
                <w:sz w:val="24"/>
              </w:rPr>
            </w:pPr>
            <w:r>
              <w:rPr>
                <w:rFonts w:hint="eastAsia" w:ascii="宋体" w:hAnsi="宋体" w:eastAsia="宋体" w:cs="宋体"/>
                <w:sz w:val="24"/>
              </w:rPr>
              <w:t>知识产权运营和技术合同管理</w:t>
            </w:r>
          </w:p>
        </w:tc>
        <w:tc>
          <w:tcPr>
            <w:tcW w:w="51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33EB634B">
            <w:pPr>
              <w:spacing w:line="360" w:lineRule="auto"/>
              <w:jc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1.5</w:t>
            </w:r>
          </w:p>
        </w:tc>
        <w:tc>
          <w:tcPr>
            <w:tcW w:w="51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02EB35AD">
            <w:pPr>
              <w:spacing w:line="360" w:lineRule="auto"/>
              <w:jc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24</w:t>
            </w:r>
          </w:p>
        </w:tc>
        <w:tc>
          <w:tcPr>
            <w:tcW w:w="7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A3466C3">
            <w:pPr>
              <w:spacing w:line="360" w:lineRule="auto"/>
              <w:jc w:val="center"/>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春季学期</w:t>
            </w:r>
          </w:p>
        </w:tc>
        <w:tc>
          <w:tcPr>
            <w:tcW w:w="8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324D78CC">
            <w:pPr>
              <w:spacing w:line="360" w:lineRule="auto"/>
              <w:jc w:val="center"/>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必修</w:t>
            </w:r>
          </w:p>
        </w:tc>
      </w:tr>
      <w:tr w14:paraId="38E3B210">
        <w:tblPrEx>
          <w:tblCellMar>
            <w:top w:w="0" w:type="dxa"/>
            <w:left w:w="0" w:type="dxa"/>
            <w:bottom w:w="0" w:type="dxa"/>
            <w:right w:w="0" w:type="dxa"/>
          </w:tblCellMar>
        </w:tblPrEx>
        <w:trPr>
          <w:trHeight w:val="521" w:hRule="atLeast"/>
          <w:jc w:val="center"/>
        </w:trPr>
        <w:tc>
          <w:tcPr>
            <w:tcW w:w="51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C6592E4">
            <w:pPr>
              <w:spacing w:line="360" w:lineRule="auto"/>
              <w:jc w:val="center"/>
              <w:rPr>
                <w:rFonts w:ascii="宋体" w:hAnsi="宋体" w:eastAsia="宋体" w:cs="宋体"/>
                <w:sz w:val="24"/>
              </w:rPr>
            </w:pPr>
            <w:r>
              <w:rPr>
                <w:rFonts w:hint="eastAsia" w:ascii="宋体" w:hAnsi="宋体" w:eastAsia="宋体" w:cs="宋体"/>
                <w:sz w:val="24"/>
              </w:rPr>
              <w:t>5</w:t>
            </w:r>
          </w:p>
        </w:tc>
        <w:tc>
          <w:tcPr>
            <w:tcW w:w="187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0E019801">
            <w:pPr>
              <w:spacing w:line="360" w:lineRule="auto"/>
              <w:jc w:val="center"/>
              <w:rPr>
                <w:rFonts w:ascii="宋体" w:hAnsi="宋体" w:eastAsia="宋体" w:cs="宋体"/>
                <w:sz w:val="24"/>
              </w:rPr>
            </w:pPr>
            <w:bookmarkStart w:id="4" w:name="_Hlk168565965"/>
            <w:bookmarkEnd w:id="4"/>
            <w:r>
              <w:rPr>
                <w:rFonts w:hint="eastAsia" w:ascii="宋体" w:hAnsi="宋体" w:eastAsia="宋体" w:cs="宋体"/>
                <w:sz w:val="24"/>
              </w:rPr>
              <w:t>企业并购与技术作价入股</w:t>
            </w:r>
          </w:p>
        </w:tc>
        <w:tc>
          <w:tcPr>
            <w:tcW w:w="51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D92E106">
            <w:pPr>
              <w:spacing w:line="360" w:lineRule="auto"/>
              <w:jc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1.5</w:t>
            </w:r>
          </w:p>
        </w:tc>
        <w:tc>
          <w:tcPr>
            <w:tcW w:w="51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09BEAC4C">
            <w:pPr>
              <w:spacing w:line="360" w:lineRule="auto"/>
              <w:jc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24</w:t>
            </w:r>
          </w:p>
        </w:tc>
        <w:tc>
          <w:tcPr>
            <w:tcW w:w="7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B15B3FC">
            <w:pPr>
              <w:spacing w:line="360" w:lineRule="auto"/>
              <w:jc w:val="center"/>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春季学期</w:t>
            </w:r>
          </w:p>
        </w:tc>
        <w:tc>
          <w:tcPr>
            <w:tcW w:w="8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7B710F1C">
            <w:pPr>
              <w:spacing w:line="360" w:lineRule="auto"/>
              <w:jc w:val="center"/>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必修</w:t>
            </w:r>
          </w:p>
        </w:tc>
      </w:tr>
      <w:tr w14:paraId="768BCE58">
        <w:tblPrEx>
          <w:tblCellMar>
            <w:top w:w="0" w:type="dxa"/>
            <w:left w:w="0" w:type="dxa"/>
            <w:bottom w:w="0" w:type="dxa"/>
            <w:right w:w="0" w:type="dxa"/>
          </w:tblCellMar>
        </w:tblPrEx>
        <w:trPr>
          <w:trHeight w:val="522" w:hRule="atLeast"/>
          <w:jc w:val="center"/>
        </w:trPr>
        <w:tc>
          <w:tcPr>
            <w:tcW w:w="51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0C284DAF">
            <w:pPr>
              <w:spacing w:line="360" w:lineRule="auto"/>
              <w:jc w:val="center"/>
              <w:rPr>
                <w:rFonts w:ascii="宋体" w:hAnsi="宋体" w:eastAsia="宋体" w:cs="宋体"/>
                <w:sz w:val="24"/>
              </w:rPr>
            </w:pPr>
            <w:r>
              <w:rPr>
                <w:rFonts w:hint="eastAsia" w:ascii="宋体" w:hAnsi="宋体" w:eastAsia="宋体" w:cs="宋体"/>
                <w:sz w:val="24"/>
              </w:rPr>
              <w:t>6</w:t>
            </w:r>
          </w:p>
        </w:tc>
        <w:tc>
          <w:tcPr>
            <w:tcW w:w="187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22AA7F2">
            <w:pPr>
              <w:spacing w:line="360" w:lineRule="auto"/>
              <w:jc w:val="center"/>
              <w:rPr>
                <w:rFonts w:ascii="宋体" w:hAnsi="宋体" w:eastAsia="宋体" w:cs="宋体"/>
                <w:sz w:val="24"/>
              </w:rPr>
            </w:pPr>
            <w:r>
              <w:rPr>
                <w:rFonts w:hint="eastAsia" w:ascii="宋体" w:hAnsi="宋体" w:eastAsia="宋体" w:cs="宋体"/>
                <w:sz w:val="24"/>
              </w:rPr>
              <w:t>技术转移实务与案例</w:t>
            </w:r>
          </w:p>
        </w:tc>
        <w:tc>
          <w:tcPr>
            <w:tcW w:w="51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C63ECFD">
            <w:pPr>
              <w:spacing w:line="360" w:lineRule="auto"/>
              <w:jc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1.5</w:t>
            </w:r>
          </w:p>
        </w:tc>
        <w:tc>
          <w:tcPr>
            <w:tcW w:w="51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307339E6">
            <w:pPr>
              <w:spacing w:line="360" w:lineRule="auto"/>
              <w:jc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24</w:t>
            </w:r>
          </w:p>
        </w:tc>
        <w:tc>
          <w:tcPr>
            <w:tcW w:w="7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3C4E1E98">
            <w:pPr>
              <w:spacing w:line="360" w:lineRule="auto"/>
              <w:jc w:val="center"/>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春季学期</w:t>
            </w:r>
          </w:p>
        </w:tc>
        <w:tc>
          <w:tcPr>
            <w:tcW w:w="8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79F7E99">
            <w:pPr>
              <w:spacing w:line="360" w:lineRule="auto"/>
              <w:jc w:val="center"/>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必修</w:t>
            </w:r>
          </w:p>
        </w:tc>
      </w:tr>
    </w:tbl>
    <w:p w14:paraId="64C4854A">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（二）课程简介</w:t>
      </w:r>
    </w:p>
    <w:p w14:paraId="4293F9D8">
      <w:pPr>
        <w:spacing w:line="360" w:lineRule="auto"/>
        <w:ind w:firstLine="482" w:firstLineChars="200"/>
        <w:rPr>
          <w:rFonts w:ascii="宋体" w:hAnsi="宋体" w:eastAsia="宋体" w:cs="宋体"/>
          <w:b/>
          <w:bCs/>
          <w:sz w:val="24"/>
        </w:rPr>
      </w:pPr>
      <w:r>
        <w:rPr>
          <w:rFonts w:ascii="宋体" w:hAnsi="宋体" w:eastAsia="宋体" w:cs="宋体"/>
          <w:b/>
          <w:bCs/>
          <w:sz w:val="24"/>
        </w:rPr>
        <w:t>1.《管理学》</w:t>
      </w:r>
    </w:p>
    <w:p w14:paraId="100E482F">
      <w:pPr>
        <w:spacing w:line="360" w:lineRule="auto"/>
        <w:ind w:firstLine="480" w:firstLineChars="200"/>
        <w:rPr>
          <w:rFonts w:ascii="宋体" w:hAnsi="宋体" w:eastAsia="宋体" w:cs="宋体"/>
          <w:bCs/>
          <w:sz w:val="24"/>
        </w:rPr>
      </w:pPr>
      <w:r>
        <w:rPr>
          <w:rFonts w:hint="eastAsia" w:ascii="宋体" w:hAnsi="宋体" w:eastAsia="宋体" w:cs="宋体"/>
          <w:bCs/>
          <w:sz w:val="24"/>
        </w:rPr>
        <w:t>系统介绍管理学基本理论与方法，涵盖计划、组织、领导、控制等职能，结合技术转移与合规管理情境，培养学生决策、沟通、团队协作与组织管理能力，为理解科技成果转化中的项目管理、组织协调和合规治理奠定基础。</w:t>
      </w:r>
    </w:p>
    <w:p w14:paraId="2546F4B0">
      <w:pPr>
        <w:spacing w:line="360" w:lineRule="auto"/>
        <w:ind w:firstLine="482" w:firstLineChars="200"/>
        <w:rPr>
          <w:rFonts w:ascii="宋体" w:hAnsi="宋体" w:eastAsia="宋体" w:cs="宋体"/>
          <w:b/>
          <w:bCs/>
          <w:sz w:val="24"/>
        </w:rPr>
      </w:pPr>
      <w:r>
        <w:rPr>
          <w:rFonts w:ascii="宋体" w:hAnsi="宋体" w:eastAsia="宋体" w:cs="宋体"/>
          <w:b/>
          <w:bCs/>
          <w:sz w:val="24"/>
        </w:rPr>
        <w:t>2.《生产运营管理》</w:t>
      </w:r>
    </w:p>
    <w:p w14:paraId="49DA6F0E">
      <w:pPr>
        <w:spacing w:line="360" w:lineRule="auto"/>
        <w:ind w:firstLine="480" w:firstLineChars="200"/>
        <w:rPr>
          <w:rFonts w:ascii="宋体" w:hAnsi="宋体" w:eastAsia="宋体" w:cs="宋体"/>
          <w:bCs/>
          <w:sz w:val="24"/>
        </w:rPr>
      </w:pPr>
      <w:r>
        <w:rPr>
          <w:rFonts w:hint="eastAsia" w:ascii="宋体" w:hAnsi="宋体" w:eastAsia="宋体" w:cs="宋体"/>
          <w:bCs/>
          <w:sz w:val="24"/>
        </w:rPr>
        <w:t>讲授生产与运营系统设计、计划、组织与控制，涵盖需求预测、产能规划、库存管理、质量管理、精益生产与供应链等内容。结合技术转移项目与合规要求，培养流程优化、运营决策和风险控制能力，为科技成果产业化提供支撑。</w:t>
      </w:r>
    </w:p>
    <w:p w14:paraId="4D0F76A2">
      <w:pPr>
        <w:spacing w:line="360" w:lineRule="auto"/>
        <w:ind w:firstLine="482" w:firstLineChars="200"/>
        <w:rPr>
          <w:rFonts w:ascii="宋体" w:hAnsi="宋体" w:eastAsia="宋体" w:cs="宋体"/>
          <w:b/>
          <w:bCs/>
          <w:sz w:val="24"/>
        </w:rPr>
      </w:pPr>
      <w:r>
        <w:rPr>
          <w:rFonts w:ascii="宋体" w:hAnsi="宋体" w:eastAsia="宋体" w:cs="宋体"/>
          <w:b/>
          <w:bCs/>
          <w:sz w:val="24"/>
        </w:rPr>
        <w:t>3.《商业模式与盈利模式管理》</w:t>
      </w:r>
    </w:p>
    <w:p w14:paraId="6E5AE7F3">
      <w:pPr>
        <w:spacing w:line="360" w:lineRule="auto"/>
        <w:ind w:firstLine="480" w:firstLineChars="200"/>
        <w:rPr>
          <w:rFonts w:ascii="宋体" w:hAnsi="宋体" w:eastAsia="宋体" w:cs="宋体"/>
          <w:bCs/>
          <w:sz w:val="24"/>
        </w:rPr>
      </w:pPr>
      <w:r>
        <w:rPr>
          <w:rFonts w:hint="eastAsia" w:ascii="宋体" w:hAnsi="宋体" w:eastAsia="宋体" w:cs="宋体"/>
          <w:bCs/>
          <w:sz w:val="24"/>
        </w:rPr>
        <w:t>围绕商业模式与盈利模式的设计、创新与评估，讲授价值主张、客户细分、收入来源、成本结构与盈利路径。结合技术转移与合规管理情境，培养学生设计可持续商业模式、分析盈利机制、评估转化项目商业价值与合规风险的能力。</w:t>
      </w:r>
    </w:p>
    <w:p w14:paraId="1E856771">
      <w:pPr>
        <w:spacing w:line="360" w:lineRule="auto"/>
        <w:ind w:firstLine="482" w:firstLineChars="200"/>
        <w:rPr>
          <w:rFonts w:ascii="宋体" w:hAnsi="宋体" w:eastAsia="宋体" w:cs="宋体"/>
          <w:b/>
          <w:bCs/>
          <w:sz w:val="24"/>
        </w:rPr>
      </w:pPr>
      <w:r>
        <w:rPr>
          <w:rFonts w:ascii="宋体" w:hAnsi="宋体" w:eastAsia="宋体" w:cs="宋体"/>
          <w:b/>
          <w:bCs/>
          <w:sz w:val="24"/>
        </w:rPr>
        <w:t>4.《知识产权运营和技术合同管理》</w:t>
      </w:r>
    </w:p>
    <w:p w14:paraId="0D5A74E5">
      <w:pPr>
        <w:spacing w:line="360" w:lineRule="auto"/>
        <w:ind w:firstLine="480" w:firstLineChars="200"/>
        <w:rPr>
          <w:rFonts w:ascii="宋体" w:hAnsi="宋体" w:eastAsia="宋体" w:cs="宋体"/>
          <w:bCs/>
          <w:sz w:val="24"/>
        </w:rPr>
      </w:pPr>
      <w:r>
        <w:rPr>
          <w:rFonts w:hint="eastAsia" w:ascii="宋体" w:hAnsi="宋体" w:eastAsia="宋体" w:cs="宋体"/>
          <w:bCs/>
          <w:sz w:val="24"/>
        </w:rPr>
        <w:t>讲授专利、商标、著作权等知识产权的布局、评估、许可、转让与运营，以及技术开发、转让、许可、咨询、服务合同的订立、履行、风险与合规管理。结合案例，培养知识产权运营和技术合同实务能力，支撑科技成果转化与合规管理。</w:t>
      </w:r>
    </w:p>
    <w:p w14:paraId="65164179">
      <w:pPr>
        <w:spacing w:line="360" w:lineRule="auto"/>
        <w:ind w:firstLine="482" w:firstLineChars="200"/>
        <w:rPr>
          <w:rFonts w:ascii="宋体" w:hAnsi="宋体" w:eastAsia="宋体" w:cs="宋体"/>
          <w:b/>
          <w:bCs/>
          <w:sz w:val="24"/>
        </w:rPr>
      </w:pPr>
      <w:r>
        <w:rPr>
          <w:rFonts w:ascii="宋体" w:hAnsi="宋体" w:eastAsia="宋体" w:cs="宋体"/>
          <w:b/>
          <w:bCs/>
          <w:sz w:val="24"/>
        </w:rPr>
        <w:t>5.《企业并购与技术作价入股》</w:t>
      </w:r>
    </w:p>
    <w:p w14:paraId="5C5E3BE7">
      <w:pPr>
        <w:spacing w:line="360" w:lineRule="auto"/>
        <w:ind w:firstLine="480" w:firstLineChars="200"/>
        <w:rPr>
          <w:rFonts w:ascii="宋体" w:hAnsi="宋体" w:eastAsia="宋体" w:cs="宋体"/>
          <w:bCs/>
          <w:sz w:val="24"/>
        </w:rPr>
      </w:pPr>
      <w:r>
        <w:rPr>
          <w:rFonts w:hint="eastAsia" w:ascii="宋体" w:hAnsi="宋体" w:eastAsia="宋体" w:cs="宋体"/>
          <w:bCs/>
          <w:sz w:val="24"/>
        </w:rPr>
        <w:t>围绕企业并购与技术作价入股，讲授并购动因、流程、尽职调查、估值、交易结构、整合管理，以及技术成果作价入股的评估、出资、股权设计、税务与合规要点。结合案例，培养学生设计并购与技术入股方案、识别合规风险与实现技术资本化的实务能力。</w:t>
      </w:r>
    </w:p>
    <w:p w14:paraId="5E3628C1">
      <w:pPr>
        <w:spacing w:line="360" w:lineRule="auto"/>
        <w:ind w:firstLine="482" w:firstLineChars="200"/>
        <w:rPr>
          <w:rFonts w:ascii="宋体" w:hAnsi="宋体" w:eastAsia="宋体" w:cs="宋体"/>
          <w:b/>
          <w:bCs/>
          <w:sz w:val="24"/>
        </w:rPr>
      </w:pPr>
      <w:r>
        <w:rPr>
          <w:rFonts w:ascii="宋体" w:hAnsi="宋体" w:eastAsia="宋体" w:cs="宋体"/>
          <w:b/>
          <w:bCs/>
          <w:sz w:val="24"/>
        </w:rPr>
        <w:t>6.《技术转移实务与案例》</w:t>
      </w:r>
    </w:p>
    <w:p w14:paraId="164682D2">
      <w:pPr>
        <w:spacing w:line="360" w:lineRule="auto"/>
        <w:ind w:firstLine="480" w:firstLineChars="200"/>
        <w:rPr>
          <w:rFonts w:ascii="宋体" w:hAnsi="宋体" w:eastAsia="宋体" w:cs="宋体"/>
          <w:bCs/>
          <w:sz w:val="24"/>
        </w:rPr>
      </w:pPr>
      <w:r>
        <w:rPr>
          <w:rFonts w:hint="eastAsia" w:ascii="宋体" w:hAnsi="宋体" w:eastAsia="宋体" w:cs="宋体"/>
          <w:bCs/>
          <w:sz w:val="24"/>
        </w:rPr>
        <w:t>聚焦技术转移全流程实务，涵盖需求挖掘、技术评估、供需对接、转化模式选择、许可转让、作价入股、合同谈判与落地实施等环节。通过典型行业案例解析，培养学生设计转化方案、管理项目流程、防范合规风险及推动科技成果产业化的实战能力。</w:t>
      </w:r>
    </w:p>
    <w:p w14:paraId="28A446E1">
      <w:pPr>
        <w:spacing w:line="360" w:lineRule="auto"/>
        <w:ind w:firstLine="440" w:firstLineChars="200"/>
        <w:rPr>
          <w:rFonts w:ascii="等线" w:hAnsi="等线" w:eastAsia="等线" w:cs="等线"/>
          <w:b/>
          <w:bCs/>
          <w:szCs w:val="22"/>
        </w:rPr>
      </w:pPr>
      <w:r>
        <w:rPr>
          <w:rFonts w:hint="eastAsia" w:ascii="等线" w:hAnsi="等线" w:eastAsia="等线" w:cs="等线"/>
          <w:b/>
          <w:bCs/>
          <w:szCs w:val="22"/>
        </w:rPr>
        <w:t>八、报名和咨询</w:t>
      </w:r>
    </w:p>
    <w:p w14:paraId="00535464">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有意报名的同学请</w:t>
      </w:r>
      <w:r>
        <w:rPr>
          <w:rFonts w:hint="eastAsia" w:ascii="宋体" w:hAnsi="宋体" w:eastAsia="宋体" w:cs="宋体"/>
          <w:color w:val="000000" w:themeColor="text1"/>
          <w:sz w:val="24"/>
          <w:lang w:val="en-US" w:eastAsia="zh-CN"/>
          <w14:textFill>
            <w14:solidFill>
              <w14:schemeClr w14:val="tx1"/>
            </w14:solidFill>
          </w14:textFill>
        </w:rPr>
        <w:t>加QQ群（群号：809443294），</w:t>
      </w:r>
      <w:r>
        <w:rPr>
          <w:rFonts w:hint="eastAsia" w:ascii="宋体" w:hAnsi="宋体" w:eastAsia="宋体" w:cs="宋体"/>
          <w:color w:val="000000" w:themeColor="text1"/>
          <w:sz w:val="24"/>
          <w14:textFill>
            <w14:solidFill>
              <w14:schemeClr w14:val="tx1"/>
            </w14:solidFill>
          </w14:textFill>
        </w:rPr>
        <w:t>下载填写《江苏师范大学学生微专业申请表》，并于</w:t>
      </w:r>
      <w:r>
        <w:rPr>
          <w:rFonts w:hint="eastAsia" w:ascii="宋体" w:hAnsi="宋体" w:eastAsia="宋体" w:cs="宋体"/>
          <w:color w:val="000000" w:themeColor="text1"/>
          <w:sz w:val="24"/>
          <w:lang w:val="en-US" w:eastAsia="zh-CN"/>
          <w14:textFill>
            <w14:solidFill>
              <w14:schemeClr w14:val="tx1"/>
            </w14:solidFill>
          </w14:textFill>
        </w:rPr>
        <w:t>10</w:t>
      </w:r>
      <w:r>
        <w:rPr>
          <w:rFonts w:hint="eastAsia" w:ascii="宋体" w:hAnsi="宋体" w:eastAsia="宋体" w:cs="宋体"/>
          <w:color w:val="000000" w:themeColor="text1"/>
          <w:sz w:val="24"/>
          <w14:textFill>
            <w14:solidFill>
              <w14:schemeClr w14:val="tx1"/>
            </w14:solidFill>
          </w14:textFill>
        </w:rPr>
        <w:t>月</w:t>
      </w:r>
      <w:r>
        <w:rPr>
          <w:rFonts w:hint="eastAsia" w:ascii="宋体" w:hAnsi="宋体" w:eastAsia="宋体" w:cs="宋体"/>
          <w:color w:val="000000" w:themeColor="text1"/>
          <w:sz w:val="24"/>
          <w:lang w:val="en-US" w:eastAsia="zh-CN"/>
          <w14:textFill>
            <w14:solidFill>
              <w14:schemeClr w14:val="tx1"/>
            </w14:solidFill>
          </w14:textFill>
        </w:rPr>
        <w:t>26</w:t>
      </w:r>
      <w:r>
        <w:rPr>
          <w:rFonts w:hint="eastAsia" w:ascii="宋体" w:hAnsi="宋体" w:eastAsia="宋体" w:cs="宋体"/>
          <w:color w:val="000000" w:themeColor="text1"/>
          <w:sz w:val="24"/>
          <w14:textFill>
            <w14:solidFill>
              <w14:schemeClr w14:val="tx1"/>
            </w14:solidFill>
          </w14:textFill>
        </w:rPr>
        <w:t>日</w:t>
      </w:r>
      <w:r>
        <w:rPr>
          <w:rFonts w:hint="eastAsia" w:ascii="宋体" w:hAnsi="宋体" w:eastAsia="宋体" w:cs="宋体"/>
          <w:color w:val="000000" w:themeColor="text1"/>
          <w:sz w:val="24"/>
          <w:lang w:val="en-US" w:eastAsia="zh-CN"/>
          <w14:textFill>
            <w14:solidFill>
              <w14:schemeClr w14:val="tx1"/>
            </w14:solidFill>
          </w14:textFill>
        </w:rPr>
        <w:t>17:00</w:t>
      </w:r>
      <w:r>
        <w:rPr>
          <w:rFonts w:hint="eastAsia" w:ascii="宋体" w:hAnsi="宋体" w:eastAsia="宋体" w:cs="宋体"/>
          <w:color w:val="000000" w:themeColor="text1"/>
          <w:sz w:val="24"/>
          <w14:textFill>
            <w14:solidFill>
              <w14:schemeClr w14:val="tx1"/>
            </w14:solidFill>
          </w14:textFill>
        </w:rPr>
        <w:t>前报送至</w:t>
      </w:r>
      <w:r>
        <w:rPr>
          <w:rFonts w:hint="eastAsia" w:ascii="宋体" w:hAnsi="宋体" w:eastAsia="宋体" w:cs="宋体"/>
          <w:color w:val="000000" w:themeColor="text1"/>
          <w:sz w:val="24"/>
          <w:lang w:val="en-US" w:eastAsia="zh-CN"/>
          <w14:textFill>
            <w14:solidFill>
              <w14:schemeClr w14:val="tx1"/>
            </w14:solidFill>
          </w14:textFill>
        </w:rPr>
        <w:t>商学院</w:t>
      </w:r>
      <w:r>
        <w:rPr>
          <w:rFonts w:hint="eastAsia" w:ascii="宋体" w:hAnsi="宋体" w:eastAsia="宋体" w:cs="宋体"/>
          <w:color w:val="000000" w:themeColor="text1"/>
          <w:sz w:val="24"/>
          <w14:textFill>
            <w14:solidFill>
              <w14:schemeClr w14:val="tx1"/>
            </w14:solidFill>
          </w14:textFill>
        </w:rPr>
        <w:t>教务办公室</w:t>
      </w:r>
      <w:r>
        <w:rPr>
          <w:rFonts w:hint="eastAsia" w:ascii="宋体" w:hAnsi="宋体" w:eastAsia="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lang w:val="en-US" w:eastAsia="zh-CN"/>
          <w14:textFill>
            <w14:solidFill>
              <w14:schemeClr w14:val="tx1"/>
            </w14:solidFill>
          </w14:textFill>
        </w:rPr>
        <w:t>41号楼213室</w:t>
      </w:r>
      <w:r>
        <w:rPr>
          <w:rFonts w:hint="eastAsia" w:ascii="宋体" w:hAnsi="宋体" w:eastAsia="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w:t>
      </w:r>
    </w:p>
    <w:p w14:paraId="150699ED">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工作咨询、联系人：</w:t>
      </w:r>
      <w:r>
        <w:rPr>
          <w:rFonts w:hint="eastAsia" w:ascii="宋体" w:hAnsi="宋体" w:eastAsia="宋体" w:cs="宋体"/>
          <w:color w:val="000000" w:themeColor="text1"/>
          <w:sz w:val="24"/>
          <w:lang w:val="en-US" w:eastAsia="zh-CN"/>
          <w14:textFill>
            <w14:solidFill>
              <w14:schemeClr w14:val="tx1"/>
            </w14:solidFill>
          </w14:textFill>
        </w:rPr>
        <w:t>盛老师 0516-83656717</w:t>
      </w:r>
      <w:r>
        <w:rPr>
          <w:rFonts w:hint="eastAsia" w:ascii="宋体" w:hAnsi="宋体" w:eastAsia="宋体" w:cs="宋体"/>
          <w:color w:val="000000" w:themeColor="text1"/>
          <w:sz w:val="24"/>
          <w14:textFill>
            <w14:solidFill>
              <w14:schemeClr w14:val="tx1"/>
            </w14:solidFill>
          </w14:textFill>
        </w:rPr>
        <w:t>。</w:t>
      </w:r>
    </w:p>
    <w:p w14:paraId="290DD38A">
      <w:pPr>
        <w:spacing w:line="360" w:lineRule="auto"/>
        <w:ind w:firstLine="480" w:firstLineChars="200"/>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lang w:eastAsia="zh-CN"/>
          <w14:textFill>
            <w14:solidFill>
              <w14:schemeClr w14:val="tx1"/>
            </w14:solidFill>
          </w14:textFill>
        </w:rPr>
        <w:drawing>
          <wp:anchor distT="0" distB="0" distL="114300" distR="114300" simplePos="0" relativeHeight="251659264" behindDoc="0" locked="0" layoutInCell="1" allowOverlap="1">
            <wp:simplePos x="0" y="0"/>
            <wp:positionH relativeFrom="column">
              <wp:posOffset>304800</wp:posOffset>
            </wp:positionH>
            <wp:positionV relativeFrom="paragraph">
              <wp:posOffset>35560</wp:posOffset>
            </wp:positionV>
            <wp:extent cx="1807210" cy="2293620"/>
            <wp:effectExtent l="0" t="0" r="2540" b="11430"/>
            <wp:wrapSquare wrapText="bothSides"/>
            <wp:docPr id="1" name="图片 1" descr="1c3db65f83ce1044a6208c0f77d81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c3db65f83ce1044a6208c0f77d81699"/>
                    <pic:cNvPicPr>
                      <a:picLocks noChangeAspect="1"/>
                    </pic:cNvPicPr>
                  </pic:nvPicPr>
                  <pic:blipFill>
                    <a:blip r:embed="rId6"/>
                    <a:srcRect t="15210" b="13409"/>
                    <a:stretch>
                      <a:fillRect/>
                    </a:stretch>
                  </pic:blipFill>
                  <pic:spPr>
                    <a:xfrm>
                      <a:off x="0" y="0"/>
                      <a:ext cx="1807210" cy="2293620"/>
                    </a:xfrm>
                    <a:prstGeom prst="rect">
                      <a:avLst/>
                    </a:prstGeom>
                  </pic:spPr>
                </pic:pic>
              </a:graphicData>
            </a:graphic>
          </wp:anchor>
        </w:drawing>
      </w:r>
    </w:p>
    <w:p w14:paraId="3A15056E">
      <w:pPr>
        <w:spacing w:line="360" w:lineRule="auto"/>
        <w:ind w:firstLine="480" w:firstLineChars="200"/>
        <w:rPr>
          <w:rFonts w:ascii="宋体" w:hAnsi="宋体" w:eastAsia="宋体" w:cs="宋体"/>
          <w:color w:val="000000" w:themeColor="text1"/>
          <w:sz w:val="24"/>
          <w14:textFill>
            <w14:solidFill>
              <w14:schemeClr w14:val="tx1"/>
            </w14:solidFill>
          </w14:textFill>
        </w:rPr>
      </w:pPr>
    </w:p>
    <w:sectPr>
      <w:pgSz w:w="11906" w:h="16838"/>
      <w:pgMar w:top="1440" w:right="1797" w:bottom="1440" w:left="179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Times New Roman Regular">
    <w:altName w:val="Times New Roman"/>
    <w:panose1 w:val="02020503050405090304"/>
    <w:charset w:val="00"/>
    <w:family w:val="auto"/>
    <w:pitch w:val="default"/>
    <w:sig w:usb0="00000000" w:usb1="00000000" w:usb2="00000001" w:usb3="00000000" w:csb0="400001BF" w:csb1="DFF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774"/>
    <w:rsid w:val="000B2A8D"/>
    <w:rsid w:val="000C5DF0"/>
    <w:rsid w:val="0012737E"/>
    <w:rsid w:val="001A1EC7"/>
    <w:rsid w:val="00231694"/>
    <w:rsid w:val="00234888"/>
    <w:rsid w:val="00236E7F"/>
    <w:rsid w:val="00300087"/>
    <w:rsid w:val="00570EED"/>
    <w:rsid w:val="00630A57"/>
    <w:rsid w:val="006642D3"/>
    <w:rsid w:val="007579E9"/>
    <w:rsid w:val="00784818"/>
    <w:rsid w:val="0078492C"/>
    <w:rsid w:val="007C0877"/>
    <w:rsid w:val="007D3997"/>
    <w:rsid w:val="00851B76"/>
    <w:rsid w:val="008A2774"/>
    <w:rsid w:val="009613C3"/>
    <w:rsid w:val="009F3121"/>
    <w:rsid w:val="00A13F97"/>
    <w:rsid w:val="00B21122"/>
    <w:rsid w:val="00B418E9"/>
    <w:rsid w:val="00B82698"/>
    <w:rsid w:val="00B94C42"/>
    <w:rsid w:val="00BB7C27"/>
    <w:rsid w:val="00C900F4"/>
    <w:rsid w:val="00D05706"/>
    <w:rsid w:val="00D366C7"/>
    <w:rsid w:val="00DA1402"/>
    <w:rsid w:val="00E01A75"/>
    <w:rsid w:val="00E85A10"/>
    <w:rsid w:val="00EF0F43"/>
    <w:rsid w:val="00EF4A0D"/>
    <w:rsid w:val="00F87B62"/>
    <w:rsid w:val="0B2E72C7"/>
    <w:rsid w:val="0E910EB1"/>
    <w:rsid w:val="103676BD"/>
    <w:rsid w:val="107E1D0F"/>
    <w:rsid w:val="111C1C1F"/>
    <w:rsid w:val="11785740"/>
    <w:rsid w:val="1F3802BD"/>
    <w:rsid w:val="1F707A57"/>
    <w:rsid w:val="204C4020"/>
    <w:rsid w:val="22D87DED"/>
    <w:rsid w:val="312361BC"/>
    <w:rsid w:val="33B10912"/>
    <w:rsid w:val="340429E1"/>
    <w:rsid w:val="36910587"/>
    <w:rsid w:val="3A8F302F"/>
    <w:rsid w:val="3E2C720B"/>
    <w:rsid w:val="3E483C21"/>
    <w:rsid w:val="3F967170"/>
    <w:rsid w:val="40862D05"/>
    <w:rsid w:val="4CFE54F5"/>
    <w:rsid w:val="55411010"/>
    <w:rsid w:val="579D6934"/>
    <w:rsid w:val="5A1629CD"/>
    <w:rsid w:val="66A33A72"/>
    <w:rsid w:val="686209C8"/>
    <w:rsid w:val="6A3C0259"/>
    <w:rsid w:val="6E2039C3"/>
    <w:rsid w:val="717464FF"/>
    <w:rsid w:val="74E126F4"/>
    <w:rsid w:val="7B3B1E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4"/>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5"/>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9"/>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8"/>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3">
    <w:name w:val="Subtitle"/>
    <w:basedOn w:val="1"/>
    <w:next w:val="1"/>
    <w:link w:val="29"/>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semiHidden/>
    <w:unhideWhenUsed/>
    <w:qFormat/>
    <w:uiPriority w:val="99"/>
    <w:rPr>
      <w:sz w:val="24"/>
    </w:rPr>
  </w:style>
  <w:style w:type="paragraph" w:styleId="15">
    <w:name w:val="Title"/>
    <w:basedOn w:val="1"/>
    <w:next w:val="1"/>
    <w:link w:val="28"/>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18">
    <w:name w:val="Strong"/>
    <w:basedOn w:val="17"/>
    <w:qFormat/>
    <w:uiPriority w:val="22"/>
    <w:rPr>
      <w:b/>
    </w:rPr>
  </w:style>
  <w:style w:type="character" w:customStyle="1" w:styleId="19">
    <w:name w:val="标题 1 字符"/>
    <w:basedOn w:val="17"/>
    <w:link w:val="2"/>
    <w:qFormat/>
    <w:uiPriority w:val="9"/>
    <w:rPr>
      <w:rFonts w:asciiTheme="majorHAnsi" w:hAnsiTheme="majorHAnsi" w:eastAsiaTheme="majorEastAsia" w:cstheme="majorBidi"/>
      <w:color w:val="104862" w:themeColor="accent1" w:themeShade="BF"/>
      <w:sz w:val="48"/>
      <w:szCs w:val="48"/>
    </w:rPr>
  </w:style>
  <w:style w:type="character" w:customStyle="1" w:styleId="20">
    <w:name w:val="标题 2 字符"/>
    <w:basedOn w:val="17"/>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1">
    <w:name w:val="标题 3 字符"/>
    <w:basedOn w:val="17"/>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2">
    <w:name w:val="标题 4 字符"/>
    <w:basedOn w:val="17"/>
    <w:link w:val="5"/>
    <w:semiHidden/>
    <w:qFormat/>
    <w:uiPriority w:val="9"/>
    <w:rPr>
      <w:rFonts w:cstheme="majorBidi"/>
      <w:color w:val="104862" w:themeColor="accent1" w:themeShade="BF"/>
      <w:sz w:val="28"/>
      <w:szCs w:val="28"/>
    </w:rPr>
  </w:style>
  <w:style w:type="character" w:customStyle="1" w:styleId="23">
    <w:name w:val="标题 5 字符"/>
    <w:basedOn w:val="17"/>
    <w:link w:val="6"/>
    <w:semiHidden/>
    <w:qFormat/>
    <w:uiPriority w:val="9"/>
    <w:rPr>
      <w:rFonts w:cstheme="majorBidi"/>
      <w:color w:val="104862" w:themeColor="accent1" w:themeShade="BF"/>
      <w:sz w:val="24"/>
    </w:rPr>
  </w:style>
  <w:style w:type="character" w:customStyle="1" w:styleId="24">
    <w:name w:val="标题 6 字符"/>
    <w:basedOn w:val="17"/>
    <w:link w:val="7"/>
    <w:semiHidden/>
    <w:qFormat/>
    <w:uiPriority w:val="9"/>
    <w:rPr>
      <w:rFonts w:cstheme="majorBidi"/>
      <w:b/>
      <w:bCs/>
      <w:color w:val="104862" w:themeColor="accent1" w:themeShade="BF"/>
    </w:rPr>
  </w:style>
  <w:style w:type="character" w:customStyle="1" w:styleId="25">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7"/>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明显强调1"/>
    <w:basedOn w:val="17"/>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明显引用 字符"/>
    <w:basedOn w:val="17"/>
    <w:link w:val="34"/>
    <w:qFormat/>
    <w:uiPriority w:val="30"/>
    <w:rPr>
      <w:i/>
      <w:iCs/>
      <w:color w:val="104862" w:themeColor="accent1" w:themeShade="BF"/>
    </w:rPr>
  </w:style>
  <w:style w:type="character" w:customStyle="1" w:styleId="36">
    <w:name w:val="明显参考1"/>
    <w:basedOn w:val="17"/>
    <w:qFormat/>
    <w:uiPriority w:val="32"/>
    <w:rPr>
      <w:b/>
      <w:bCs/>
      <w:smallCaps/>
      <w:color w:val="104862" w:themeColor="accent1" w:themeShade="BF"/>
      <w:spacing w:val="5"/>
    </w:rPr>
  </w:style>
  <w:style w:type="paragraph" w:customStyle="1" w:styleId="37">
    <w:name w:val="western"/>
    <w:basedOn w:val="1"/>
    <w:qFormat/>
    <w:uiPriority w:val="0"/>
    <w:pPr>
      <w:widowControl/>
      <w:spacing w:before="100" w:beforeAutospacing="1" w:after="100" w:afterAutospacing="1" w:line="240" w:lineRule="auto"/>
    </w:pPr>
    <w:rPr>
      <w:rFonts w:ascii="宋体" w:hAnsi="宋体" w:eastAsia="宋体" w:cs="宋体"/>
      <w:kern w:val="0"/>
      <w:sz w:val="24"/>
      <w14:ligatures w14:val="none"/>
    </w:rPr>
  </w:style>
  <w:style w:type="character" w:customStyle="1" w:styleId="38">
    <w:name w:val="页眉 字符"/>
    <w:basedOn w:val="17"/>
    <w:link w:val="12"/>
    <w:qFormat/>
    <w:uiPriority w:val="99"/>
    <w:rPr>
      <w:rFonts w:asciiTheme="minorHAnsi" w:hAnsiTheme="minorHAnsi" w:eastAsiaTheme="minorEastAsia" w:cstheme="minorBidi"/>
      <w:kern w:val="2"/>
      <w:sz w:val="18"/>
      <w:szCs w:val="18"/>
      <w14:ligatures w14:val="standardContextual"/>
    </w:rPr>
  </w:style>
  <w:style w:type="character" w:customStyle="1" w:styleId="39">
    <w:name w:val="页脚 字符"/>
    <w:basedOn w:val="17"/>
    <w:link w:val="11"/>
    <w:qFormat/>
    <w:uiPriority w:val="99"/>
    <w:rPr>
      <w:rFonts w:asciiTheme="minorHAnsi" w:hAnsiTheme="minorHAnsi" w:eastAsiaTheme="minorEastAsia" w:cstheme="minorBidi"/>
      <w:kern w:val="2"/>
      <w:sz w:val="18"/>
      <w:szCs w:val="18"/>
      <w14:ligatures w14:val="standardContextua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4827</Words>
  <Characters>4905</Characters>
  <Lines>35</Lines>
  <Paragraphs>9</Paragraphs>
  <TotalTime>0</TotalTime>
  <ScaleCrop>false</ScaleCrop>
  <LinksUpToDate>false</LinksUpToDate>
  <CharactersWithSpaces>4909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2026-09-28T03:37:00Z</dcterms:created>
  <dc:creator>永乐 李</dc:creator>
  <cp:lastModifiedBy>灵灵</cp:lastModifiedBy>
  <cp:lastPrinted>2026-10-09T00:51:00Z</cp:lastPrinted>
  <dcterms:modified xsi:type="dcterms:W3CDTF">2026-10-21T10:08:05Z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eyJoZGlkIjoiNzRjNjBhOGU3ZTc5OWM0ZGEyMTM4ODNjODM0NWE0ZGQiLCJ1c2VySWQiOiI0OTA3MDkzODMifQ==</vt:lpwstr>
  </property>
  <property fmtid="{D5CDD505-2E9C-101B-9397-08002B2CF9AE}" pid="3" name="KSOProductBuildVer">
    <vt:lpwstr>2052-12.1.0.28802</vt:lpwstr>
  </property>
  <property fmtid="{D5CDD505-2E9C-101B-9397-08002B2CF9AE}" pid="4" name="ICV">
    <vt:lpwstr>5D1A674AAD774803BAA02CD7980A1352_13</vt:lpwstr>
  </property>
  <property fmtid="{D5CDD505-2E9C-101B-9397-08002B2CF9AE}" pid="5" name="GrammarlyDocumentId">
    <vt:lpwstr>ac4d2d2db01f6ffe1962c2c5f184a749f62764d016c8a71175e72ff992b05c76</vt:lpwstr>
  </property>
</Properties>
</file>