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D2343">
      <w:pPr>
        <w:kinsoku w:val="0"/>
        <w:overflowPunct w:val="0"/>
        <w:autoSpaceDE w:val="0"/>
        <w:autoSpaceDN w:val="0"/>
        <w:adjustRightInd w:val="0"/>
        <w:snapToGrid w:val="0"/>
        <w:spacing w:after="0" w:line="360" w:lineRule="auto"/>
        <w:jc w:val="center"/>
        <w:rPr>
          <w:rFonts w:ascii="黑体" w:hAnsi="黑体" w:eastAsia="黑体"/>
          <w:sz w:val="32"/>
          <w:szCs w:val="32"/>
        </w:rPr>
      </w:pPr>
      <w:r>
        <w:rPr>
          <w:rFonts w:hint="eastAsia" w:ascii="黑体" w:hAnsi="黑体" w:eastAsia="黑体"/>
          <w:sz w:val="32"/>
          <w:szCs w:val="32"/>
        </w:rPr>
        <w:t>江苏师范大学“食品营养和健康管理”微专业</w:t>
      </w:r>
    </w:p>
    <w:p w14:paraId="3BA6DF4D">
      <w:pPr>
        <w:kinsoku w:val="0"/>
        <w:overflowPunct w:val="0"/>
        <w:autoSpaceDE w:val="0"/>
        <w:autoSpaceDN w:val="0"/>
        <w:adjustRightInd w:val="0"/>
        <w:snapToGrid w:val="0"/>
        <w:spacing w:after="0" w:line="360" w:lineRule="auto"/>
        <w:jc w:val="center"/>
        <w:rPr>
          <w:rFonts w:ascii="黑体" w:hAnsi="黑体" w:eastAsia="黑体"/>
          <w:sz w:val="36"/>
          <w:szCs w:val="36"/>
        </w:rPr>
      </w:pPr>
      <w:r>
        <w:rPr>
          <w:rFonts w:hint="eastAsia" w:ascii="黑体" w:hAnsi="黑体" w:eastAsia="黑体"/>
          <w:sz w:val="36"/>
          <w:szCs w:val="36"/>
        </w:rPr>
        <w:t>招 生 简 章</w:t>
      </w:r>
    </w:p>
    <w:p w14:paraId="599BAF74">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ascii="Times New Roman" w:hAnsi="Times New Roman" w:eastAsia="楷体" w:cs="Times New Roman"/>
          <w:sz w:val="28"/>
          <w:szCs w:val="28"/>
        </w:rPr>
        <w:t>赋能健康产业，练就职场“硬核”技能！</w:t>
      </w:r>
    </w:p>
    <w:p w14:paraId="7172D51B">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ascii="Times New Roman" w:hAnsi="Times New Roman" w:eastAsia="楷体" w:cs="Times New Roman"/>
          <w:sz w:val="28"/>
          <w:szCs w:val="28"/>
        </w:rPr>
        <w:t>一年时间，12学分，带你从“会吃”走向“会评、会配、会管”。</w:t>
      </w:r>
    </w:p>
    <w:p w14:paraId="3F150203">
      <w:pPr>
        <w:kinsoku w:val="0"/>
        <w:overflowPunct w:val="0"/>
        <w:autoSpaceDE w:val="0"/>
        <w:autoSpaceDN w:val="0"/>
        <w:adjustRightInd w:val="0"/>
        <w:snapToGrid w:val="0"/>
        <w:spacing w:after="0" w:line="540" w:lineRule="exact"/>
        <w:ind w:firstLine="480" w:firstLineChars="200"/>
        <w:jc w:val="both"/>
        <w:rPr>
          <w:rFonts w:ascii="Times New Roman" w:hAnsi="Times New Roman" w:eastAsia="楷体" w:cs="Times New Roman"/>
          <w:sz w:val="28"/>
          <w:szCs w:val="28"/>
        </w:rPr>
      </w:pPr>
      <w:r>
        <w:rPr>
          <w:rFonts w:ascii="黑体" w:hAnsi="黑体" w:eastAsia="黑体" w:cs="黑体"/>
          <w:sz w:val="24"/>
        </w:rPr>
        <w:t>◆ 骨干师资　◆ 小班教学　◆ 项目实训　◆ 实地实践　◆ 考证对接</w:t>
      </w:r>
    </w:p>
    <w:p w14:paraId="14515FD5">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随着“健康中国2030”战略的深入推进，大健康产业正加速升级。懂营养、会配餐、能管理的复合型人才，已成为医院、社区、企业争相招揽的“</w:t>
      </w:r>
      <w:r>
        <w:rPr>
          <w:rFonts w:hint="eastAsia" w:ascii="Times New Roman" w:hAnsi="Times New Roman" w:eastAsia="楷体" w:cs="Times New Roman"/>
          <w:b/>
          <w:sz w:val="28"/>
          <w:szCs w:val="28"/>
        </w:rPr>
        <w:t>紧缺角色</w:t>
      </w:r>
      <w:r>
        <w:rPr>
          <w:rFonts w:hint="eastAsia" w:ascii="Times New Roman" w:hAnsi="Times New Roman" w:eastAsia="楷体" w:cs="Times New Roman"/>
          <w:sz w:val="28"/>
          <w:szCs w:val="28"/>
        </w:rPr>
        <w:t>”。本微专业依托江苏师范大学生命科学与食品工程学院的学科优势，以</w:t>
      </w:r>
      <w:r>
        <w:rPr>
          <w:rFonts w:hint="eastAsia" w:ascii="Times New Roman" w:hAnsi="Times New Roman" w:eastAsia="楷体" w:cs="Times New Roman"/>
          <w:b/>
          <w:sz w:val="28"/>
          <w:szCs w:val="28"/>
        </w:rPr>
        <w:t>一年时间、12学分、6门课程</w:t>
      </w:r>
      <w:r>
        <w:rPr>
          <w:rFonts w:hint="eastAsia" w:ascii="Times New Roman" w:hAnsi="Times New Roman" w:eastAsia="楷体" w:cs="Times New Roman"/>
          <w:sz w:val="28"/>
          <w:szCs w:val="28"/>
        </w:rPr>
        <w:t>的高效模式，助你打破专业壁垒，为你的原有专业背景叠加一项“</w:t>
      </w:r>
      <w:r>
        <w:rPr>
          <w:rFonts w:hint="eastAsia" w:ascii="Times New Roman" w:hAnsi="Times New Roman" w:eastAsia="楷体" w:cs="Times New Roman"/>
          <w:b/>
          <w:sz w:val="28"/>
          <w:szCs w:val="28"/>
        </w:rPr>
        <w:t>可迁移、可考证、可就业</w:t>
      </w:r>
      <w:r>
        <w:rPr>
          <w:rFonts w:hint="eastAsia" w:ascii="Times New Roman" w:hAnsi="Times New Roman" w:eastAsia="楷体" w:cs="Times New Roman"/>
          <w:sz w:val="28"/>
          <w:szCs w:val="28"/>
        </w:rPr>
        <w:t>”的硬核技能。在这里，你将全面提升</w:t>
      </w:r>
      <w:r>
        <w:rPr>
          <w:rFonts w:hint="eastAsia" w:ascii="Times New Roman" w:hAnsi="Times New Roman" w:eastAsia="楷体" w:cs="Times New Roman"/>
          <w:b/>
          <w:sz w:val="28"/>
          <w:szCs w:val="28"/>
        </w:rPr>
        <w:t>营养评估与指导、营养配餐与设计、慢病营养管理、养生膳食制作与品鉴</w:t>
      </w:r>
      <w:r>
        <w:rPr>
          <w:rFonts w:hint="eastAsia" w:ascii="Times New Roman" w:hAnsi="Times New Roman" w:eastAsia="楷体" w:cs="Times New Roman"/>
          <w:sz w:val="28"/>
          <w:szCs w:val="28"/>
        </w:rPr>
        <w:t>四大核心能力。</w:t>
      </w:r>
    </w:p>
    <w:p w14:paraId="7826307A">
      <w:pPr>
        <w:kinsoku w:val="0"/>
        <w:overflowPunct w:val="0"/>
        <w:autoSpaceDE w:val="0"/>
        <w:autoSpaceDN w:val="0"/>
        <w:adjustRightInd w:val="0"/>
        <w:snapToGrid w:val="0"/>
        <w:spacing w:before="156" w:beforeLines="50" w:after="62" w:afterLines="20" w:line="540" w:lineRule="exact"/>
        <w:jc w:val="both"/>
        <w:rPr>
          <w:rFonts w:ascii="黑体" w:hAnsi="黑体" w:eastAsia="黑体" w:cs="Times New Roman"/>
          <w:sz w:val="30"/>
          <w:szCs w:val="30"/>
        </w:rPr>
      </w:pPr>
      <w:r>
        <w:rPr>
          <w:rFonts w:ascii="黑体" w:hAnsi="黑体" w:eastAsia="黑体" w:cs="Times New Roman"/>
          <w:sz w:val="30"/>
          <w:szCs w:val="30"/>
        </w:rPr>
        <w:t>一、微专业介绍</w:t>
      </w:r>
    </w:p>
    <w:p w14:paraId="0E58739D">
      <w:pPr>
        <w:kinsoku w:val="0"/>
        <w:overflowPunct w:val="0"/>
        <w:autoSpaceDE w:val="0"/>
        <w:autoSpaceDN w:val="0"/>
        <w:adjustRightInd w:val="0"/>
        <w:snapToGrid w:val="0"/>
        <w:spacing w:after="0" w:line="540" w:lineRule="exact"/>
        <w:ind w:firstLine="560" w:firstLineChars="200"/>
        <w:jc w:val="both"/>
        <w:rPr>
          <w:rFonts w:hint="eastAsia" w:ascii="Times New Roman" w:hAnsi="Times New Roman" w:eastAsia="楷体" w:cs="Times New Roman"/>
          <w:sz w:val="28"/>
          <w:szCs w:val="28"/>
        </w:rPr>
      </w:pPr>
      <w:r>
        <w:rPr>
          <w:rFonts w:hint="eastAsia" w:ascii="Times New Roman" w:hAnsi="Times New Roman" w:eastAsia="楷体" w:cs="Times New Roman"/>
          <w:sz w:val="28"/>
          <w:szCs w:val="28"/>
        </w:rPr>
        <w:t>“食品营养和健康管理”微专业依托江苏师范大学生命科学与食品工程学院的学科优势</w:t>
      </w:r>
      <w:r>
        <w:rPr>
          <w:rFonts w:hint="eastAsia" w:ascii="Times New Roman" w:hAnsi="Times New Roman" w:eastAsia="楷体" w:cs="Times New Roman"/>
          <w:sz w:val="28"/>
          <w:szCs w:val="28"/>
          <w:lang w:eastAsia="zh-CN"/>
        </w:rPr>
        <w:t>，</w:t>
      </w:r>
      <w:r>
        <w:rPr>
          <w:rFonts w:hint="eastAsia" w:ascii="Times New Roman" w:hAnsi="Times New Roman" w:eastAsia="楷体" w:cs="Times New Roman"/>
          <w:sz w:val="28"/>
          <w:szCs w:val="28"/>
        </w:rPr>
        <w:t>紧扣“健康中国2030”战略与大健康产业发展需求设立。本微专业聚焦食品营养</w:t>
      </w:r>
      <w:bookmarkStart w:id="0" w:name="_GoBack"/>
      <w:bookmarkEnd w:id="0"/>
      <w:r>
        <w:rPr>
          <w:rFonts w:hint="eastAsia" w:ascii="Times New Roman" w:hAnsi="Times New Roman" w:eastAsia="楷体" w:cs="Times New Roman"/>
          <w:sz w:val="28"/>
          <w:szCs w:val="28"/>
        </w:rPr>
        <w:t>、食品科学及健康管理三大领域的交叉融合，通过系统的课程学习与实践训练</w:t>
      </w:r>
      <w:r>
        <w:rPr>
          <w:rFonts w:hint="eastAsia" w:ascii="Times New Roman" w:hAnsi="Times New Roman" w:eastAsia="楷体" w:cs="Times New Roman"/>
          <w:sz w:val="28"/>
          <w:szCs w:val="28"/>
          <w:lang w:eastAsia="zh-CN"/>
        </w:rPr>
        <w:t>，</w:t>
      </w:r>
      <w:r>
        <w:rPr>
          <w:rFonts w:hint="eastAsia" w:ascii="Times New Roman" w:hAnsi="Times New Roman" w:eastAsia="楷体" w:cs="Times New Roman"/>
          <w:sz w:val="28"/>
          <w:szCs w:val="28"/>
        </w:rPr>
        <w:t>培养具备营养评估与指导、营养配餐与</w:t>
      </w:r>
      <w:r>
        <w:rPr>
          <w:rFonts w:hint="eastAsia" w:ascii="Times New Roman" w:hAnsi="Times New Roman" w:eastAsia="楷体" w:cs="Times New Roman"/>
          <w:sz w:val="28"/>
          <w:szCs w:val="28"/>
          <w:lang w:val="en-US" w:eastAsia="zh-CN"/>
        </w:rPr>
        <w:t>设计、</w:t>
      </w:r>
      <w:r>
        <w:rPr>
          <w:rFonts w:hint="eastAsia" w:ascii="Times New Roman" w:hAnsi="Times New Roman" w:eastAsia="楷体" w:cs="Times New Roman"/>
          <w:sz w:val="28"/>
          <w:szCs w:val="28"/>
        </w:rPr>
        <w:t>慢病营养管理、养生膳食制作与品鉴四大核心能力的复合型人才。</w:t>
      </w:r>
    </w:p>
    <w:p w14:paraId="0181E672">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当前，我国居民营养健康需求日益增长。社区健康管理站、健康食品企业等用人单位对兼具营养学与健康管理知识、能够“直接上手”开展营养指导的复合型人才需求旺盛，但市场供给不足。本微专业旨在帮助各专业学生拓展营养健康领域的知识技能，提升就业竞争力，并为学生报考健康管理师、营养指导员等相关职业技能证书打下基础。</w:t>
      </w:r>
    </w:p>
    <w:p w14:paraId="53B7842F">
      <w:pPr>
        <w:kinsoku w:val="0"/>
        <w:overflowPunct w:val="0"/>
        <w:autoSpaceDE w:val="0"/>
        <w:autoSpaceDN w:val="0"/>
        <w:adjustRightInd w:val="0"/>
        <w:snapToGrid w:val="0"/>
        <w:spacing w:before="156" w:beforeLines="50" w:after="62" w:afterLines="20" w:line="540" w:lineRule="exact"/>
        <w:jc w:val="both"/>
        <w:rPr>
          <w:rFonts w:ascii="黑体" w:hAnsi="黑体" w:eastAsia="黑体" w:cs="Times New Roman"/>
          <w:sz w:val="30"/>
          <w:szCs w:val="30"/>
        </w:rPr>
      </w:pPr>
      <w:r>
        <w:rPr>
          <w:rFonts w:ascii="黑体" w:hAnsi="黑体" w:eastAsia="黑体" w:cs="Times New Roman"/>
          <w:sz w:val="30"/>
          <w:szCs w:val="30"/>
        </w:rPr>
        <w:t>二、培养目标</w:t>
      </w:r>
    </w:p>
    <w:p w14:paraId="4256E859">
      <w:pPr>
        <w:kinsoku w:val="0"/>
        <w:overflowPunct w:val="0"/>
        <w:autoSpaceDE w:val="0"/>
        <w:autoSpaceDN w:val="0"/>
        <w:adjustRightInd w:val="0"/>
        <w:snapToGrid w:val="0"/>
        <w:spacing w:after="0" w:line="540" w:lineRule="exact"/>
        <w:jc w:val="both"/>
        <w:rPr>
          <w:rFonts w:ascii="楷体" w:hAnsi="楷体" w:eastAsia="楷体" w:cs="Times New Roman"/>
          <w:sz w:val="28"/>
          <w:szCs w:val="28"/>
        </w:rPr>
      </w:pPr>
      <w:r>
        <w:rPr>
          <w:rFonts w:ascii="楷体" w:hAnsi="楷体" w:eastAsia="楷体" w:cs="Times New Roman"/>
          <w:b/>
          <w:bCs/>
          <w:sz w:val="28"/>
          <w:szCs w:val="28"/>
        </w:rPr>
        <w:t>（一）培养方向</w:t>
      </w:r>
    </w:p>
    <w:p w14:paraId="637B9D09">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本微专业面向医院临床营养科、社区健康管理站、健康食品企业、养老机构、健康管理机构等就业方向培养人才，结业学生可胜任以下岗位：</w:t>
      </w:r>
    </w:p>
    <w:p w14:paraId="1B0F2A40">
      <w:pPr>
        <w:numPr>
          <w:ilvl w:val="0"/>
          <w:numId w:val="1"/>
        </w:numPr>
        <w:tabs>
          <w:tab w:val="left" w:pos="709"/>
          <w:tab w:val="clear" w:pos="720"/>
        </w:tabs>
        <w:kinsoku w:val="0"/>
        <w:overflowPunct w:val="0"/>
        <w:autoSpaceDE w:val="0"/>
        <w:autoSpaceDN w:val="0"/>
        <w:adjustRightInd w:val="0"/>
        <w:snapToGrid w:val="0"/>
        <w:spacing w:after="0" w:line="540" w:lineRule="exact"/>
        <w:ind w:left="425" w:leftChars="193" w:firstLine="422" w:firstLineChars="151"/>
        <w:jc w:val="both"/>
        <w:rPr>
          <w:rFonts w:ascii="楷体" w:hAnsi="楷体" w:eastAsia="楷体" w:cs="Times New Roman"/>
          <w:sz w:val="28"/>
          <w:szCs w:val="28"/>
        </w:rPr>
      </w:pPr>
      <w:r>
        <w:rPr>
          <w:rFonts w:ascii="楷体" w:hAnsi="楷体" w:eastAsia="楷体" w:cs="Times New Roman"/>
          <w:sz w:val="28"/>
          <w:szCs w:val="28"/>
        </w:rPr>
        <w:t>医院临床营养科辅助岗位</w:t>
      </w:r>
    </w:p>
    <w:p w14:paraId="2FD49951">
      <w:pPr>
        <w:numPr>
          <w:ilvl w:val="0"/>
          <w:numId w:val="1"/>
        </w:numPr>
        <w:tabs>
          <w:tab w:val="left" w:pos="709"/>
          <w:tab w:val="clear" w:pos="720"/>
        </w:tabs>
        <w:kinsoku w:val="0"/>
        <w:overflowPunct w:val="0"/>
        <w:autoSpaceDE w:val="0"/>
        <w:autoSpaceDN w:val="0"/>
        <w:adjustRightInd w:val="0"/>
        <w:snapToGrid w:val="0"/>
        <w:spacing w:after="0" w:line="540" w:lineRule="exact"/>
        <w:ind w:left="425" w:leftChars="193" w:firstLine="422" w:firstLineChars="151"/>
        <w:jc w:val="both"/>
        <w:rPr>
          <w:rFonts w:ascii="楷体" w:hAnsi="楷体" w:eastAsia="楷体" w:cs="Times New Roman"/>
          <w:sz w:val="28"/>
          <w:szCs w:val="28"/>
        </w:rPr>
      </w:pPr>
      <w:r>
        <w:rPr>
          <w:rFonts w:ascii="楷体" w:hAnsi="楷体" w:eastAsia="楷体" w:cs="Times New Roman"/>
          <w:sz w:val="28"/>
          <w:szCs w:val="28"/>
        </w:rPr>
        <w:t>社区健康管理站营养指导岗位</w:t>
      </w:r>
    </w:p>
    <w:p w14:paraId="0A0A7785">
      <w:pPr>
        <w:numPr>
          <w:ilvl w:val="0"/>
          <w:numId w:val="1"/>
        </w:numPr>
        <w:tabs>
          <w:tab w:val="left" w:pos="709"/>
          <w:tab w:val="clear" w:pos="720"/>
        </w:tabs>
        <w:kinsoku w:val="0"/>
        <w:overflowPunct w:val="0"/>
        <w:autoSpaceDE w:val="0"/>
        <w:autoSpaceDN w:val="0"/>
        <w:adjustRightInd w:val="0"/>
        <w:snapToGrid w:val="0"/>
        <w:spacing w:after="0" w:line="540" w:lineRule="exact"/>
        <w:ind w:left="425" w:leftChars="193" w:firstLine="422" w:firstLineChars="151"/>
        <w:jc w:val="both"/>
        <w:rPr>
          <w:rFonts w:ascii="楷体" w:hAnsi="楷体" w:eastAsia="楷体" w:cs="Times New Roman"/>
          <w:sz w:val="28"/>
          <w:szCs w:val="28"/>
        </w:rPr>
      </w:pPr>
      <w:r>
        <w:rPr>
          <w:rFonts w:ascii="楷体" w:hAnsi="楷体" w:eastAsia="楷体" w:cs="Times New Roman"/>
          <w:sz w:val="28"/>
          <w:szCs w:val="28"/>
        </w:rPr>
        <w:t>健康食品企业产品研发与营养咨询岗位</w:t>
      </w:r>
    </w:p>
    <w:p w14:paraId="4E97DA8B">
      <w:pPr>
        <w:numPr>
          <w:ilvl w:val="0"/>
          <w:numId w:val="1"/>
        </w:numPr>
        <w:tabs>
          <w:tab w:val="left" w:pos="709"/>
          <w:tab w:val="clear" w:pos="720"/>
        </w:tabs>
        <w:kinsoku w:val="0"/>
        <w:overflowPunct w:val="0"/>
        <w:autoSpaceDE w:val="0"/>
        <w:autoSpaceDN w:val="0"/>
        <w:adjustRightInd w:val="0"/>
        <w:snapToGrid w:val="0"/>
        <w:spacing w:after="0" w:line="540" w:lineRule="exact"/>
        <w:ind w:left="425" w:leftChars="193" w:firstLine="422" w:firstLineChars="151"/>
        <w:jc w:val="both"/>
        <w:rPr>
          <w:rFonts w:ascii="楷体" w:hAnsi="楷体" w:eastAsia="楷体" w:cs="Times New Roman"/>
          <w:sz w:val="28"/>
          <w:szCs w:val="28"/>
        </w:rPr>
      </w:pPr>
      <w:r>
        <w:rPr>
          <w:rFonts w:ascii="楷体" w:hAnsi="楷体" w:eastAsia="楷体" w:cs="Times New Roman"/>
          <w:sz w:val="28"/>
          <w:szCs w:val="28"/>
        </w:rPr>
        <w:t>养老机构营养管理岗位</w:t>
      </w:r>
    </w:p>
    <w:p w14:paraId="2CEE987A">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ascii="Times New Roman" w:hAnsi="Times New Roman" w:eastAsia="楷体" w:cs="Times New Roman"/>
          <w:sz w:val="28"/>
          <w:szCs w:val="28"/>
        </w:rPr>
        <w:t>同时，本微专业为学生考取健康管理师、营养指导员等相关职业技能证书提供系统的知识与技能支撑。</w:t>
      </w:r>
    </w:p>
    <w:p w14:paraId="2F68D414">
      <w:pPr>
        <w:kinsoku w:val="0"/>
        <w:overflowPunct w:val="0"/>
        <w:autoSpaceDE w:val="0"/>
        <w:autoSpaceDN w:val="0"/>
        <w:adjustRightInd w:val="0"/>
        <w:snapToGrid w:val="0"/>
        <w:spacing w:after="0" w:line="540" w:lineRule="exact"/>
        <w:jc w:val="both"/>
        <w:rPr>
          <w:rFonts w:ascii="楷体" w:hAnsi="楷体" w:eastAsia="楷体" w:cs="Times New Roman"/>
          <w:b/>
          <w:bCs/>
          <w:sz w:val="28"/>
          <w:szCs w:val="28"/>
        </w:rPr>
      </w:pPr>
      <w:r>
        <w:rPr>
          <w:rFonts w:ascii="楷体" w:hAnsi="楷体" w:eastAsia="楷体" w:cs="Times New Roman"/>
          <w:b/>
          <w:bCs/>
          <w:sz w:val="28"/>
          <w:szCs w:val="28"/>
        </w:rPr>
        <w:t>（二）培养模式</w:t>
      </w:r>
    </w:p>
    <w:p w14:paraId="2A64745E">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1. 模块化课程结构</w:t>
      </w:r>
      <w:r>
        <w:rPr>
          <w:rFonts w:hint="eastAsia" w:ascii="Times New Roman" w:hAnsi="Times New Roman" w:eastAsia="楷体" w:cs="Times New Roman"/>
          <w:sz w:val="28"/>
          <w:szCs w:val="28"/>
        </w:rPr>
        <w:t>：</w:t>
      </w:r>
    </w:p>
    <w:p w14:paraId="0C65F6D6">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bCs/>
          <w:sz w:val="28"/>
          <w:szCs w:val="28"/>
        </w:rPr>
        <w:t>（1）</w:t>
      </w:r>
      <w:r>
        <w:rPr>
          <w:rFonts w:hint="eastAsia" w:ascii="Times New Roman" w:hAnsi="Times New Roman" w:eastAsia="楷体" w:cs="Times New Roman"/>
          <w:b/>
          <w:sz w:val="28"/>
          <w:szCs w:val="28"/>
        </w:rPr>
        <w:t>基础理论模块：</w:t>
      </w:r>
      <w:r>
        <w:rPr>
          <w:rFonts w:hint="eastAsia" w:ascii="Times New Roman" w:hAnsi="Times New Roman" w:eastAsia="楷体" w:cs="Times New Roman"/>
          <w:sz w:val="28"/>
          <w:szCs w:val="28"/>
        </w:rPr>
        <w:t>涵盖健康生理学、食品营养学、食品卫生学（含食品添加剂、功能性饮料等），帮助学生快速搭建营养健康领域知识框架。</w:t>
      </w:r>
    </w:p>
    <w:p w14:paraId="2B9954A6">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bCs/>
          <w:sz w:val="28"/>
          <w:szCs w:val="28"/>
        </w:rPr>
        <w:t>（2）</w:t>
      </w:r>
      <w:r>
        <w:rPr>
          <w:rFonts w:hint="eastAsia" w:ascii="Times New Roman" w:hAnsi="Times New Roman" w:eastAsia="楷体" w:cs="Times New Roman"/>
          <w:b/>
          <w:sz w:val="28"/>
          <w:szCs w:val="28"/>
        </w:rPr>
        <w:t>慢病与配餐模块：</w:t>
      </w:r>
      <w:r>
        <w:rPr>
          <w:rFonts w:hint="eastAsia" w:ascii="Times New Roman" w:hAnsi="Times New Roman" w:eastAsia="楷体" w:cs="Times New Roman"/>
          <w:sz w:val="28"/>
          <w:szCs w:val="28"/>
        </w:rPr>
        <w:t>包含营养配餐与设计、慢病营养和健康管理，覆盖糖尿病、肿瘤患者、阿尔茨海默病（老年痴呆）、高血压等人群，重点提升对重点人群和疾病状态的营养管理能力。</w:t>
      </w:r>
    </w:p>
    <w:p w14:paraId="27EA2FBC">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bCs/>
          <w:sz w:val="28"/>
          <w:szCs w:val="28"/>
        </w:rPr>
        <w:t>（3）</w:t>
      </w:r>
      <w:r>
        <w:rPr>
          <w:rFonts w:hint="eastAsia" w:ascii="Times New Roman" w:hAnsi="Times New Roman" w:eastAsia="楷体" w:cs="Times New Roman"/>
          <w:b/>
          <w:sz w:val="28"/>
          <w:szCs w:val="28"/>
        </w:rPr>
        <w:t>实践技能模块：</w:t>
      </w:r>
      <w:r>
        <w:rPr>
          <w:rFonts w:hint="eastAsia" w:ascii="Times New Roman" w:hAnsi="Times New Roman" w:eastAsia="楷体" w:cs="Times New Roman"/>
          <w:sz w:val="28"/>
          <w:szCs w:val="28"/>
        </w:rPr>
        <w:t>主打养生膳食制作及品鉴，重点培养膳食制作、营养评估与健康管理实操能力。</w:t>
      </w:r>
    </w:p>
    <w:p w14:paraId="676EC910">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此外，课程穿插前沿技术专题，涵盖功能性饮料与食品添加剂安全、慢病营养干预、阿尔茨海默病（老年痴呆）营养管理、肿瘤营养支持、药食同源养生膳食、营养配餐信息化等内容。</w:t>
      </w:r>
    </w:p>
    <w:p w14:paraId="7AF9B3BA">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b/>
          <w:bCs/>
          <w:sz w:val="28"/>
          <w:szCs w:val="28"/>
        </w:rPr>
      </w:pPr>
      <w:r>
        <w:rPr>
          <w:rFonts w:ascii="Times New Roman" w:hAnsi="Times New Roman" w:eastAsia="楷体" w:cs="Times New Roman"/>
          <w:b/>
          <w:bCs/>
          <w:sz w:val="28"/>
          <w:szCs w:val="28"/>
        </w:rPr>
        <w:t>课程内容紧密对接健康管理师、营养指导员等相关职业技能证书的考核要求，支持学生在完成课程学习的同时同步备考。</w:t>
      </w:r>
    </w:p>
    <w:p w14:paraId="5870E4D3">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2.</w:t>
      </w:r>
      <w:r>
        <w:rPr>
          <w:rFonts w:hint="eastAsia" w:ascii="Times New Roman" w:hAnsi="Times New Roman" w:eastAsia="仿宋" w:cs="Times New Roman"/>
          <w:b/>
          <w:bCs/>
          <w:sz w:val="28"/>
          <w:szCs w:val="28"/>
        </w:rPr>
        <w:t xml:space="preserve"> </w:t>
      </w:r>
      <w:r>
        <w:rPr>
          <w:rFonts w:ascii="Times New Roman" w:hAnsi="Times New Roman" w:eastAsia="仿宋" w:cs="Times New Roman"/>
          <w:b/>
          <w:bCs/>
          <w:sz w:val="28"/>
          <w:szCs w:val="28"/>
        </w:rPr>
        <w:t>实践与创新</w:t>
      </w:r>
    </w:p>
    <w:p w14:paraId="7E074F09">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ascii="Times New Roman" w:hAnsi="Times New Roman" w:eastAsia="楷体" w:cs="Times New Roman"/>
          <w:bCs/>
          <w:sz w:val="28"/>
          <w:szCs w:val="28"/>
        </w:rPr>
        <w:t>（1）</w:t>
      </w:r>
      <w:r>
        <w:rPr>
          <w:rFonts w:ascii="Times New Roman" w:hAnsi="Times New Roman" w:eastAsia="楷体" w:cs="Times New Roman"/>
          <w:b/>
          <w:sz w:val="28"/>
          <w:szCs w:val="28"/>
        </w:rPr>
        <w:t>项目驱动：</w:t>
      </w:r>
      <w:r>
        <w:rPr>
          <w:rFonts w:hint="eastAsia" w:ascii="Times New Roman" w:hAnsi="Times New Roman" w:eastAsia="楷体" w:cs="Times New Roman"/>
          <w:sz w:val="28"/>
          <w:szCs w:val="28"/>
        </w:rPr>
        <w:t>采用项目式教学，学生以真实案例为对象，完成从营养评估、方案设计到效果评价的全流程实训。</w:t>
      </w:r>
      <w:r>
        <w:rPr>
          <w:rFonts w:ascii="Times New Roman" w:hAnsi="Times New Roman" w:eastAsia="楷体" w:cs="Times New Roman"/>
          <w:sz w:val="28"/>
          <w:szCs w:val="28"/>
        </w:rPr>
        <w:t xml:space="preserve"> </w:t>
      </w:r>
    </w:p>
    <w:p w14:paraId="79700B0C">
      <w:pPr>
        <w:kinsoku w:val="0"/>
        <w:overflowPunct w:val="0"/>
        <w:autoSpaceDE w:val="0"/>
        <w:autoSpaceDN w:val="0"/>
        <w:adjustRightInd w:val="0"/>
        <w:snapToGrid w:val="0"/>
        <w:spacing w:after="0" w:line="540" w:lineRule="exact"/>
        <w:ind w:firstLine="560" w:firstLineChars="200"/>
        <w:jc w:val="both"/>
        <w:rPr>
          <w:rFonts w:ascii="Times New Roman" w:hAnsi="Times New Roman" w:eastAsia="仿宋" w:cs="Times New Roman"/>
          <w:sz w:val="28"/>
          <w:szCs w:val="28"/>
        </w:rPr>
      </w:pPr>
      <w:r>
        <w:rPr>
          <w:rFonts w:ascii="Times New Roman" w:hAnsi="Times New Roman" w:eastAsia="楷体" w:cs="Times New Roman"/>
          <w:bCs/>
          <w:sz w:val="28"/>
          <w:szCs w:val="28"/>
        </w:rPr>
        <w:t>（2）</w:t>
      </w:r>
      <w:r>
        <w:rPr>
          <w:rFonts w:ascii="Times New Roman" w:hAnsi="Times New Roman" w:eastAsia="楷体" w:cs="Times New Roman"/>
          <w:b/>
          <w:sz w:val="28"/>
          <w:szCs w:val="28"/>
        </w:rPr>
        <w:t>行业实践：</w:t>
      </w:r>
      <w:r>
        <w:rPr>
          <w:rFonts w:ascii="Times New Roman" w:hAnsi="Times New Roman" w:eastAsia="楷体" w:cs="Times New Roman"/>
          <w:sz w:val="28"/>
          <w:szCs w:val="28"/>
        </w:rPr>
        <w:t>安排学生赴医院临床营养科、社区健康管理站、健康食品企业、养老机构等单位开展实地实践，深入了解行业实际运作。</w:t>
      </w:r>
    </w:p>
    <w:p w14:paraId="5A64B216">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ascii="Times New Roman" w:hAnsi="Times New Roman" w:eastAsia="楷体" w:cs="Times New Roman"/>
          <w:bCs/>
          <w:sz w:val="28"/>
          <w:szCs w:val="28"/>
        </w:rPr>
        <w:t>（3）</w:t>
      </w:r>
      <w:r>
        <w:rPr>
          <w:rFonts w:ascii="Times New Roman" w:hAnsi="Times New Roman" w:eastAsia="楷体" w:cs="Times New Roman"/>
          <w:b/>
          <w:sz w:val="28"/>
          <w:szCs w:val="28"/>
        </w:rPr>
        <w:t>创新创业支持</w:t>
      </w:r>
      <w:r>
        <w:rPr>
          <w:rFonts w:ascii="Times New Roman" w:hAnsi="Times New Roman" w:eastAsia="楷体" w:cs="Times New Roman"/>
          <w:bCs/>
          <w:sz w:val="28"/>
          <w:szCs w:val="28"/>
        </w:rPr>
        <w:t>：</w:t>
      </w:r>
      <w:r>
        <w:rPr>
          <w:rFonts w:hint="eastAsia" w:ascii="Times New Roman" w:hAnsi="Times New Roman" w:eastAsia="楷体" w:cs="Times New Roman"/>
          <w:sz w:val="28"/>
          <w:szCs w:val="28"/>
        </w:rPr>
        <w:t>鼓励学生结合所学知识参与营养健康领域的创新创业项目，并提供导师指导与平台支持。</w:t>
      </w:r>
    </w:p>
    <w:p w14:paraId="742FEDFB">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 综合素质培养</w:t>
      </w:r>
      <w:r>
        <w:rPr>
          <w:rFonts w:ascii="Times New Roman" w:hAnsi="Times New Roman" w:eastAsia="仿宋" w:cs="Times New Roman"/>
          <w:bCs/>
          <w:sz w:val="28"/>
          <w:szCs w:val="28"/>
        </w:rPr>
        <w:t>：</w:t>
      </w:r>
      <w:r>
        <w:rPr>
          <w:rFonts w:ascii="Times New Roman" w:hAnsi="Times New Roman" w:eastAsia="楷体" w:cs="Times New Roman"/>
          <w:sz w:val="28"/>
          <w:szCs w:val="28"/>
        </w:rPr>
        <w:t>注重培养学生的沟通表达能力、团队协作能力和健康宣教能力，使其能够胜任面向老年人、慢性病患者、肿瘤患者等不同人群的营养健康指导与服务工作。</w:t>
      </w:r>
    </w:p>
    <w:p w14:paraId="6DC99A5C">
      <w:pPr>
        <w:kinsoku w:val="0"/>
        <w:overflowPunct w:val="0"/>
        <w:autoSpaceDE w:val="0"/>
        <w:autoSpaceDN w:val="0"/>
        <w:adjustRightInd w:val="0"/>
        <w:snapToGrid w:val="0"/>
        <w:spacing w:after="0" w:line="540" w:lineRule="exact"/>
        <w:jc w:val="both"/>
        <w:rPr>
          <w:rFonts w:ascii="楷体" w:hAnsi="楷体" w:eastAsia="楷体" w:cs="Times New Roman"/>
          <w:b/>
          <w:bCs/>
          <w:sz w:val="28"/>
          <w:szCs w:val="28"/>
        </w:rPr>
      </w:pPr>
      <w:r>
        <w:rPr>
          <w:rFonts w:ascii="楷体" w:hAnsi="楷体" w:eastAsia="楷体" w:cs="Times New Roman"/>
          <w:b/>
          <w:bCs/>
          <w:sz w:val="28"/>
          <w:szCs w:val="28"/>
        </w:rPr>
        <w:t>（三）培养要求</w:t>
      </w:r>
    </w:p>
    <w:p w14:paraId="5CDD0471">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1. 理论基础</w:t>
      </w:r>
      <w:r>
        <w:rPr>
          <w:rFonts w:ascii="Times New Roman" w:hAnsi="Times New Roman" w:eastAsia="仿宋" w:cs="Times New Roman"/>
          <w:bCs/>
          <w:sz w:val="28"/>
          <w:szCs w:val="28"/>
        </w:rPr>
        <w:t>：</w:t>
      </w:r>
      <w:r>
        <w:rPr>
          <w:rFonts w:ascii="Times New Roman" w:hAnsi="Times New Roman" w:eastAsia="楷体" w:cs="Times New Roman"/>
          <w:sz w:val="28"/>
          <w:szCs w:val="28"/>
        </w:rPr>
        <w:t>掌握健康生理学基础、六大营养素的生理功能与代谢规律、各类食物的营养价值、食品卫生与食品安全基本知识。</w:t>
      </w:r>
    </w:p>
    <w:p w14:paraId="72DC209C">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2. 实践能力</w:t>
      </w:r>
      <w:r>
        <w:rPr>
          <w:rFonts w:ascii="Times New Roman" w:hAnsi="Times New Roman" w:eastAsia="仿宋" w:cs="Times New Roman"/>
          <w:bCs/>
          <w:sz w:val="28"/>
          <w:szCs w:val="28"/>
        </w:rPr>
        <w:t>：</w:t>
      </w:r>
      <w:r>
        <w:rPr>
          <w:rFonts w:ascii="Times New Roman" w:hAnsi="Times New Roman" w:eastAsia="楷体" w:cs="Times New Roman"/>
          <w:sz w:val="28"/>
          <w:szCs w:val="28"/>
        </w:rPr>
        <w:t>能够运用膳食调查与评价方法开展营养评估，能针对糖尿病、肿瘤、阿尔茨海默病、高血压等人群设计个性化膳食方案，掌握养生膳食制作与品鉴技能。</w:t>
      </w:r>
    </w:p>
    <w:p w14:paraId="6CDBA892">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3. 市场与政策</w:t>
      </w:r>
      <w:r>
        <w:rPr>
          <w:rFonts w:ascii="Times New Roman" w:hAnsi="Times New Roman" w:eastAsia="仿宋" w:cs="Times New Roman"/>
          <w:bCs/>
          <w:sz w:val="28"/>
          <w:szCs w:val="28"/>
        </w:rPr>
        <w:t>：</w:t>
      </w:r>
      <w:r>
        <w:rPr>
          <w:rFonts w:ascii="Times New Roman" w:hAnsi="Times New Roman" w:eastAsia="楷体" w:cs="Times New Roman"/>
          <w:sz w:val="28"/>
          <w:szCs w:val="28"/>
        </w:rPr>
        <w:t>了解我国营养健康相关政策法规、健康管理服务体系及大健康产业发展趋势。</w:t>
      </w:r>
    </w:p>
    <w:p w14:paraId="1C2EA03D">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4. 社会责任与职业道德</w:t>
      </w:r>
      <w:r>
        <w:rPr>
          <w:rFonts w:ascii="Times New Roman" w:hAnsi="Times New Roman" w:eastAsia="仿宋" w:cs="Times New Roman"/>
          <w:bCs/>
          <w:sz w:val="28"/>
          <w:szCs w:val="28"/>
        </w:rPr>
        <w:t>：</w:t>
      </w:r>
      <w:r>
        <w:rPr>
          <w:rFonts w:ascii="Times New Roman" w:hAnsi="Times New Roman" w:eastAsia="楷体" w:cs="Times New Roman"/>
          <w:sz w:val="28"/>
          <w:szCs w:val="28"/>
        </w:rPr>
        <w:t>树立服务公众健康的责任意识，遵守营养健康行业的职业道德规范。</w:t>
      </w:r>
    </w:p>
    <w:p w14:paraId="43C5FC82">
      <w:pPr>
        <w:kinsoku w:val="0"/>
        <w:overflowPunct w:val="0"/>
        <w:autoSpaceDE w:val="0"/>
        <w:autoSpaceDN w:val="0"/>
        <w:adjustRightInd w:val="0"/>
        <w:snapToGrid w:val="0"/>
        <w:spacing w:before="156" w:beforeLines="50" w:after="62" w:afterLines="20" w:line="540" w:lineRule="exact"/>
        <w:jc w:val="both"/>
        <w:rPr>
          <w:rFonts w:ascii="黑体" w:hAnsi="黑体" w:eastAsia="黑体" w:cs="Times New Roman"/>
          <w:sz w:val="30"/>
          <w:szCs w:val="30"/>
        </w:rPr>
      </w:pPr>
      <w:r>
        <w:rPr>
          <w:rFonts w:ascii="黑体" w:hAnsi="黑体" w:eastAsia="黑体" w:cs="Times New Roman"/>
          <w:sz w:val="30"/>
          <w:szCs w:val="30"/>
        </w:rPr>
        <w:t>三、专业特色</w:t>
      </w:r>
    </w:p>
    <w:p w14:paraId="54299D74">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b/>
          <w:bCs/>
          <w:sz w:val="28"/>
          <w:szCs w:val="28"/>
        </w:rPr>
      </w:pPr>
      <w:r>
        <w:rPr>
          <w:rFonts w:ascii="Times New Roman" w:hAnsi="Times New Roman" w:eastAsia="仿宋" w:cs="Times New Roman"/>
          <w:b/>
          <w:bCs/>
          <w:sz w:val="28"/>
          <w:szCs w:val="28"/>
        </w:rPr>
        <w:t>1. 前沿引领，硬核课程</w:t>
      </w:r>
      <w:r>
        <w:rPr>
          <w:rFonts w:ascii="Times New Roman" w:hAnsi="Times New Roman" w:eastAsia="仿宋" w:cs="Times New Roman"/>
          <w:bCs/>
          <w:sz w:val="28"/>
          <w:szCs w:val="28"/>
        </w:rPr>
        <w:t>：</w:t>
      </w:r>
      <w:r>
        <w:rPr>
          <w:rFonts w:ascii="Times New Roman" w:hAnsi="Times New Roman" w:eastAsia="楷体" w:cs="Times New Roman"/>
          <w:sz w:val="28"/>
          <w:szCs w:val="28"/>
        </w:rPr>
        <w:t>课程内容紧跟营养健康领域最新发展，融入《中国居民膳食指南（2022）》、慢病营养管理、肿瘤营养支持、功能性饮料与食品添加剂安全、健康管理师与营养指导员考核要点等前沿内容。</w:t>
      </w:r>
    </w:p>
    <w:p w14:paraId="584CBEC1">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2. 实践导向，双核驱动</w:t>
      </w:r>
      <w:r>
        <w:rPr>
          <w:rFonts w:ascii="Times New Roman" w:hAnsi="Times New Roman" w:eastAsia="仿宋" w:cs="Times New Roman"/>
          <w:bCs/>
          <w:sz w:val="28"/>
          <w:szCs w:val="28"/>
        </w:rPr>
        <w:t>：</w:t>
      </w:r>
      <w:r>
        <w:rPr>
          <w:rFonts w:ascii="Times New Roman" w:hAnsi="Times New Roman" w:eastAsia="楷体" w:cs="Times New Roman"/>
          <w:sz w:val="28"/>
          <w:szCs w:val="28"/>
        </w:rPr>
        <w:t>采用“理论+实操”双能力培养模式，设置营养配餐与设计、慢病营养和健康管理、养生膳食制作及品鉴等实践类课程，突出动手能力与岗位胜任力的培养。</w:t>
      </w:r>
    </w:p>
    <w:p w14:paraId="6F507133">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3. 跨界融合，复合培养</w:t>
      </w:r>
      <w:r>
        <w:rPr>
          <w:rFonts w:ascii="Times New Roman" w:hAnsi="Times New Roman" w:eastAsia="仿宋" w:cs="Times New Roman"/>
          <w:bCs/>
          <w:sz w:val="28"/>
          <w:szCs w:val="28"/>
        </w:rPr>
        <w:t>：</w:t>
      </w:r>
      <w:r>
        <w:rPr>
          <w:rFonts w:ascii="Times New Roman" w:hAnsi="Times New Roman" w:eastAsia="楷体" w:cs="Times New Roman"/>
          <w:sz w:val="28"/>
          <w:szCs w:val="28"/>
        </w:rPr>
        <w:t>融合食品科学、营养学、公共卫生与健康管理等多学科知识，构建“新工科+新医科”深度融合的课程体系。</w:t>
      </w:r>
    </w:p>
    <w:p w14:paraId="1ABE62DF">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4. 聚焦热点，服务社会</w:t>
      </w:r>
      <w:r>
        <w:rPr>
          <w:rFonts w:ascii="Times New Roman" w:hAnsi="Times New Roman" w:eastAsia="仿宋" w:cs="Times New Roman"/>
          <w:bCs/>
          <w:sz w:val="28"/>
          <w:szCs w:val="28"/>
        </w:rPr>
        <w:t>：</w:t>
      </w:r>
      <w:r>
        <w:rPr>
          <w:rFonts w:ascii="Times New Roman" w:hAnsi="Times New Roman" w:eastAsia="楷体" w:cs="Times New Roman"/>
          <w:sz w:val="28"/>
          <w:szCs w:val="28"/>
        </w:rPr>
        <w:t>聚焦老年健康、慢性病防控、肿瘤营养支持等社会健康热点，培养学生服务“健康中国”战略的社会责任感与可持续发展理念。</w:t>
      </w:r>
    </w:p>
    <w:p w14:paraId="14E3D21E">
      <w:pPr>
        <w:kinsoku w:val="0"/>
        <w:overflowPunct w:val="0"/>
        <w:autoSpaceDE w:val="0"/>
        <w:autoSpaceDN w:val="0"/>
        <w:adjustRightInd w:val="0"/>
        <w:snapToGrid w:val="0"/>
        <w:spacing w:before="156" w:beforeLines="50" w:after="62" w:afterLines="20" w:line="540" w:lineRule="exact"/>
        <w:jc w:val="both"/>
        <w:rPr>
          <w:rFonts w:ascii="黑体" w:hAnsi="黑体" w:eastAsia="黑体" w:cs="Times New Roman"/>
          <w:sz w:val="30"/>
          <w:szCs w:val="30"/>
        </w:rPr>
      </w:pPr>
      <w:r>
        <w:rPr>
          <w:rFonts w:ascii="黑体" w:hAnsi="黑体" w:eastAsia="黑体" w:cs="Times New Roman"/>
          <w:sz w:val="30"/>
          <w:szCs w:val="30"/>
        </w:rPr>
        <w:t>四、资源保障</w:t>
      </w:r>
    </w:p>
    <w:p w14:paraId="442926A0">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1. 一流师资团队</w:t>
      </w:r>
      <w:r>
        <w:rPr>
          <w:rFonts w:ascii="Times New Roman" w:hAnsi="Times New Roman" w:eastAsia="仿宋" w:cs="Times New Roman"/>
          <w:bCs/>
          <w:sz w:val="28"/>
          <w:szCs w:val="28"/>
        </w:rPr>
        <w:t>：</w:t>
      </w:r>
      <w:r>
        <w:rPr>
          <w:rFonts w:ascii="Times New Roman" w:hAnsi="Times New Roman" w:eastAsia="楷体" w:cs="Times New Roman"/>
          <w:sz w:val="28"/>
          <w:szCs w:val="28"/>
        </w:rPr>
        <w:t>教学团队由生命科学与食品工程学院骨干教师组成，成员具有食品科学、营养学、公共卫生等多学科背景，教学经验丰富，为微专业教学提供坚实支撑。</w:t>
      </w:r>
    </w:p>
    <w:p w14:paraId="2E7806F3">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2. 优质课程平台</w:t>
      </w:r>
      <w:r>
        <w:rPr>
          <w:rFonts w:ascii="Times New Roman" w:hAnsi="Times New Roman" w:eastAsia="仿宋" w:cs="Times New Roman"/>
          <w:bCs/>
          <w:sz w:val="28"/>
          <w:szCs w:val="28"/>
        </w:rPr>
        <w:t>：</w:t>
      </w:r>
      <w:r>
        <w:rPr>
          <w:rFonts w:ascii="Times New Roman" w:hAnsi="Times New Roman" w:eastAsia="楷体" w:cs="Times New Roman"/>
          <w:sz w:val="28"/>
          <w:szCs w:val="28"/>
        </w:rPr>
        <w:t>依托学院实验教学平台与课程资源，提供线上线下混合式教学支持。</w:t>
      </w:r>
    </w:p>
    <w:p w14:paraId="5D104DB6">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sz w:val="28"/>
          <w:szCs w:val="28"/>
        </w:rPr>
      </w:pPr>
      <w:r>
        <w:rPr>
          <w:rFonts w:ascii="Times New Roman" w:hAnsi="Times New Roman" w:eastAsia="仿宋" w:cs="Times New Roman"/>
          <w:b/>
          <w:bCs/>
          <w:sz w:val="28"/>
          <w:szCs w:val="28"/>
        </w:rPr>
        <w:t>3. 双创孵化基地</w:t>
      </w:r>
      <w:r>
        <w:rPr>
          <w:rFonts w:ascii="Times New Roman" w:hAnsi="Times New Roman" w:eastAsia="仿宋" w:cs="Times New Roman"/>
          <w:bCs/>
          <w:sz w:val="28"/>
          <w:szCs w:val="28"/>
        </w:rPr>
        <w:t>：</w:t>
      </w:r>
      <w:r>
        <w:rPr>
          <w:rFonts w:ascii="Times New Roman" w:hAnsi="Times New Roman" w:eastAsia="楷体" w:cs="Times New Roman"/>
          <w:sz w:val="28"/>
          <w:szCs w:val="28"/>
        </w:rPr>
        <w:t>依托学院创新创业实践基地，为学生提供营养健康领域的项目孵化与竞赛指导。</w:t>
      </w:r>
    </w:p>
    <w:p w14:paraId="7A5D882C">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ascii="Times New Roman" w:hAnsi="Times New Roman" w:eastAsia="仿宋" w:cs="Times New Roman"/>
          <w:b/>
          <w:bCs/>
          <w:sz w:val="28"/>
          <w:szCs w:val="28"/>
        </w:rPr>
        <w:t>4. 丰富学术资源</w:t>
      </w:r>
      <w:r>
        <w:rPr>
          <w:rFonts w:ascii="Times New Roman" w:hAnsi="Times New Roman" w:eastAsia="仿宋" w:cs="Times New Roman"/>
          <w:bCs/>
          <w:sz w:val="28"/>
          <w:szCs w:val="28"/>
        </w:rPr>
        <w:t>：</w:t>
      </w:r>
      <w:r>
        <w:rPr>
          <w:rFonts w:ascii="Times New Roman" w:hAnsi="Times New Roman" w:eastAsia="楷体" w:cs="Times New Roman"/>
          <w:sz w:val="28"/>
          <w:szCs w:val="28"/>
        </w:rPr>
        <w:t>学生可使用学校图书馆数据库资源与学院科研平台，参与相关学术讲座与科研训练。</w:t>
      </w:r>
    </w:p>
    <w:p w14:paraId="713E0893">
      <w:pPr>
        <w:kinsoku w:val="0"/>
        <w:overflowPunct w:val="0"/>
        <w:autoSpaceDE w:val="0"/>
        <w:autoSpaceDN w:val="0"/>
        <w:adjustRightInd w:val="0"/>
        <w:snapToGrid w:val="0"/>
        <w:spacing w:before="156" w:beforeLines="50" w:after="62" w:afterLines="20" w:line="540" w:lineRule="exact"/>
        <w:jc w:val="both"/>
        <w:rPr>
          <w:rFonts w:ascii="黑体" w:hAnsi="黑体" w:eastAsia="黑体" w:cs="Times New Roman"/>
          <w:sz w:val="30"/>
          <w:szCs w:val="30"/>
        </w:rPr>
      </w:pPr>
      <w:r>
        <w:rPr>
          <w:rFonts w:ascii="黑体" w:hAnsi="黑体" w:eastAsia="黑体" w:cs="Times New Roman"/>
          <w:sz w:val="30"/>
          <w:szCs w:val="30"/>
        </w:rPr>
        <w:t>五、招生对象及条件</w:t>
      </w:r>
    </w:p>
    <w:p w14:paraId="73DBF4B2">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hint="eastAsia" w:ascii="Times New Roman" w:hAnsi="Times New Roman" w:eastAsia="仿宋" w:cs="Times New Roman"/>
          <w:b/>
          <w:bCs/>
          <w:sz w:val="28"/>
          <w:szCs w:val="28"/>
        </w:rPr>
        <w:t>1. 招生对象：</w:t>
      </w:r>
      <w:r>
        <w:rPr>
          <w:rFonts w:hint="eastAsia" w:ascii="Times New Roman" w:hAnsi="Times New Roman" w:eastAsia="楷体" w:cs="Times New Roman"/>
          <w:sz w:val="28"/>
          <w:szCs w:val="28"/>
        </w:rPr>
        <w:t>江苏师范大学全日制在校本科生，不限专业、不限年级</w:t>
      </w:r>
      <w:r>
        <w:rPr>
          <w:rFonts w:ascii="Times New Roman" w:hAnsi="Times New Roman" w:eastAsia="楷体" w:cs="Times New Roman"/>
          <w:sz w:val="28"/>
          <w:szCs w:val="28"/>
        </w:rPr>
        <w:t>（只要对营养健康有兴趣，均可报名）</w:t>
      </w:r>
      <w:r>
        <w:rPr>
          <w:rFonts w:hint="eastAsia" w:ascii="Times New Roman" w:hAnsi="Times New Roman" w:eastAsia="楷体" w:cs="Times New Roman"/>
          <w:sz w:val="28"/>
          <w:szCs w:val="28"/>
        </w:rPr>
        <w:t>。</w:t>
      </w:r>
    </w:p>
    <w:p w14:paraId="3C8D1070">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sz w:val="28"/>
          <w:szCs w:val="28"/>
        </w:rPr>
      </w:pPr>
      <w:r>
        <w:rPr>
          <w:rFonts w:hint="eastAsia" w:ascii="Times New Roman" w:hAnsi="Times New Roman" w:eastAsia="仿宋" w:cs="Times New Roman"/>
          <w:b/>
          <w:bCs/>
          <w:sz w:val="28"/>
          <w:szCs w:val="28"/>
        </w:rPr>
        <w:t>2. 计划招生人数：</w:t>
      </w:r>
      <w:r>
        <w:rPr>
          <w:rFonts w:hint="eastAsia" w:ascii="Times New Roman" w:hAnsi="Times New Roman" w:eastAsia="楷体" w:cs="Times New Roman"/>
          <w:sz w:val="28"/>
          <w:szCs w:val="28"/>
        </w:rPr>
        <w:t>40人，独立开班、小班教学，保证教学质量。</w:t>
      </w:r>
    </w:p>
    <w:p w14:paraId="43C51D15">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hint="eastAsia" w:ascii="Times New Roman" w:hAnsi="Times New Roman" w:eastAsia="仿宋" w:cs="Times New Roman"/>
          <w:b/>
          <w:bCs/>
          <w:sz w:val="28"/>
          <w:szCs w:val="28"/>
        </w:rPr>
        <w:t>3. 学制、学分：</w:t>
      </w:r>
      <w:r>
        <w:rPr>
          <w:rFonts w:hint="eastAsia" w:ascii="Times New Roman" w:hAnsi="Times New Roman" w:eastAsia="楷体" w:cs="Times New Roman"/>
          <w:sz w:val="28"/>
          <w:szCs w:val="28"/>
        </w:rPr>
        <w:t>学制一年，共12学分、6门课程。</w:t>
      </w:r>
    </w:p>
    <w:p w14:paraId="7BF9992C">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hint="eastAsia" w:ascii="Times New Roman" w:hAnsi="Times New Roman" w:eastAsia="仿宋" w:cs="Times New Roman"/>
          <w:b/>
          <w:bCs/>
          <w:sz w:val="28"/>
          <w:szCs w:val="28"/>
        </w:rPr>
        <w:t xml:space="preserve">4. </w:t>
      </w:r>
      <w:r>
        <w:rPr>
          <w:rFonts w:ascii="Times New Roman" w:hAnsi="Times New Roman" w:eastAsia="仿宋" w:cs="Times New Roman"/>
          <w:b/>
          <w:bCs/>
          <w:sz w:val="28"/>
          <w:szCs w:val="28"/>
        </w:rPr>
        <w:t>收费标准：</w:t>
      </w:r>
      <w:r>
        <w:rPr>
          <w:rFonts w:ascii="Times New Roman" w:hAnsi="Times New Roman" w:eastAsia="楷体" w:cs="Times New Roman"/>
          <w:sz w:val="28"/>
          <w:szCs w:val="28"/>
        </w:rPr>
        <w:t>80元/</w:t>
      </w:r>
      <w:r>
        <w:rPr>
          <w:rFonts w:hint="eastAsia" w:ascii="Times New Roman" w:hAnsi="Times New Roman" w:eastAsia="楷体" w:cs="Times New Roman"/>
          <w:sz w:val="28"/>
          <w:szCs w:val="28"/>
        </w:rPr>
        <w:t>学</w:t>
      </w:r>
      <w:r>
        <w:rPr>
          <w:rFonts w:ascii="Times New Roman" w:hAnsi="Times New Roman" w:eastAsia="楷体" w:cs="Times New Roman"/>
          <w:sz w:val="28"/>
          <w:szCs w:val="28"/>
        </w:rPr>
        <w:t>分，合计960元。</w:t>
      </w:r>
    </w:p>
    <w:p w14:paraId="3176386D">
      <w:pPr>
        <w:kinsoku w:val="0"/>
        <w:overflowPunct w:val="0"/>
        <w:autoSpaceDE w:val="0"/>
        <w:autoSpaceDN w:val="0"/>
        <w:adjustRightInd w:val="0"/>
        <w:snapToGrid w:val="0"/>
        <w:spacing w:after="0" w:line="540" w:lineRule="exact"/>
        <w:ind w:firstLine="562" w:firstLineChars="200"/>
        <w:jc w:val="both"/>
        <w:rPr>
          <w:rFonts w:ascii="Times New Roman" w:hAnsi="Times New Roman" w:eastAsia="楷体" w:cs="Times New Roman"/>
          <w:sz w:val="28"/>
          <w:szCs w:val="28"/>
        </w:rPr>
      </w:pPr>
      <w:r>
        <w:rPr>
          <w:rFonts w:hint="eastAsia" w:ascii="Times New Roman" w:hAnsi="Times New Roman" w:eastAsia="仿宋" w:cs="Times New Roman"/>
          <w:b/>
          <w:bCs/>
          <w:sz w:val="28"/>
          <w:szCs w:val="28"/>
        </w:rPr>
        <w:t xml:space="preserve">5. </w:t>
      </w:r>
      <w:r>
        <w:rPr>
          <w:rFonts w:ascii="Times New Roman" w:hAnsi="Times New Roman" w:eastAsia="仿宋" w:cs="Times New Roman"/>
          <w:b/>
          <w:bCs/>
          <w:sz w:val="28"/>
          <w:szCs w:val="28"/>
        </w:rPr>
        <w:t>授课方式：</w:t>
      </w:r>
      <w:r>
        <w:rPr>
          <w:rFonts w:ascii="Times New Roman" w:hAnsi="Times New Roman" w:eastAsia="楷体" w:cs="Times New Roman"/>
          <w:sz w:val="28"/>
          <w:szCs w:val="28"/>
        </w:rPr>
        <w:t>独立开班，利用课余时间授课</w:t>
      </w:r>
      <w:r>
        <w:rPr>
          <w:rFonts w:hint="eastAsia" w:ascii="Times New Roman" w:hAnsi="Times New Roman" w:eastAsia="楷体" w:cs="Times New Roman"/>
          <w:sz w:val="28"/>
          <w:szCs w:val="28"/>
        </w:rPr>
        <w:t>，采用线上线下混合式教学。</w:t>
      </w:r>
    </w:p>
    <w:p w14:paraId="1F5F88CA">
      <w:pPr>
        <w:kinsoku w:val="0"/>
        <w:overflowPunct w:val="0"/>
        <w:autoSpaceDE w:val="0"/>
        <w:autoSpaceDN w:val="0"/>
        <w:adjustRightInd w:val="0"/>
        <w:snapToGrid w:val="0"/>
        <w:spacing w:before="156" w:beforeLines="50" w:after="62" w:afterLines="20" w:line="540" w:lineRule="exact"/>
        <w:jc w:val="both"/>
        <w:rPr>
          <w:rFonts w:ascii="黑体" w:hAnsi="黑体" w:eastAsia="黑体" w:cs="Times New Roman"/>
          <w:sz w:val="30"/>
          <w:szCs w:val="30"/>
        </w:rPr>
      </w:pPr>
      <w:r>
        <w:rPr>
          <w:rFonts w:ascii="黑体" w:hAnsi="黑体" w:eastAsia="黑体" w:cs="Times New Roman"/>
          <w:sz w:val="30"/>
          <w:szCs w:val="30"/>
        </w:rPr>
        <w:t>六、学分认定与证书授予</w:t>
      </w:r>
    </w:p>
    <w:p w14:paraId="7CE79F2F">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学生完成微专业培养方案规定的全部课程且考核合格，经微专业所在学院审核后提出结业名单，报教务处备案，由教务处统一颁发结业证书与成绩单。</w:t>
      </w:r>
    </w:p>
    <w:p w14:paraId="4C5C7FEC">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楷体" w:hAnsi="楷体" w:eastAsia="楷体" w:cs="Times New Roman"/>
          <w:sz w:val="24"/>
        </w:rPr>
      </w:pPr>
      <w:r>
        <w:rPr>
          <w:rFonts w:hint="eastAsia" w:ascii="楷体" w:hAnsi="楷体" w:eastAsia="楷体" w:cs="Times New Roman"/>
          <w:sz w:val="24"/>
        </w:rPr>
        <w:t>【重要说明】微专业属非学历教育，不授予学位。</w:t>
      </w:r>
      <w:r>
        <w:rPr>
          <w:rFonts w:hint="eastAsia" w:ascii="楷体" w:hAnsi="楷体" w:eastAsia="楷体" w:cs="Times New Roman"/>
          <w:sz w:val="24"/>
          <w:lang w:eastAsia="zh-CN"/>
        </w:rPr>
        <w:t>如果</w:t>
      </w:r>
      <w:r>
        <w:rPr>
          <w:rFonts w:hint="eastAsia" w:ascii="楷体" w:hAnsi="楷体" w:eastAsia="楷体" w:cs="Times New Roman"/>
          <w:sz w:val="24"/>
          <w:lang w:val="en-US" w:eastAsia="zh-CN"/>
        </w:rPr>
        <w:t>本</w:t>
      </w:r>
      <w:r>
        <w:rPr>
          <w:rFonts w:hint="eastAsia" w:ascii="楷体" w:hAnsi="楷体" w:eastAsia="楷体" w:cs="Times New Roman"/>
          <w:sz w:val="24"/>
          <w:lang w:eastAsia="zh-CN"/>
        </w:rPr>
        <w:t>微专业成功入库教育部学信网</w:t>
      </w:r>
      <w:r>
        <w:rPr>
          <w:rFonts w:hint="eastAsia" w:ascii="楷体" w:hAnsi="楷体" w:eastAsia="楷体" w:cs="Times New Roman"/>
          <w:sz w:val="24"/>
          <w:lang w:val="en-US" w:eastAsia="zh-CN"/>
        </w:rPr>
        <w:t>获得</w:t>
      </w:r>
      <w:r>
        <w:rPr>
          <w:rFonts w:hint="eastAsia" w:ascii="楷体" w:hAnsi="楷体" w:eastAsia="楷体" w:cs="Times New Roman"/>
          <w:sz w:val="24"/>
          <w:lang w:eastAsia="zh-CN"/>
        </w:rPr>
        <w:t>备案，毕业生及用人单位可登录学信网查询相关修读信息。</w:t>
      </w:r>
    </w:p>
    <w:p w14:paraId="4080AA5A">
      <w:pPr>
        <w:kinsoku w:val="0"/>
        <w:overflowPunct w:val="0"/>
        <w:autoSpaceDE w:val="0"/>
        <w:autoSpaceDN w:val="0"/>
        <w:adjustRightInd w:val="0"/>
        <w:snapToGrid w:val="0"/>
        <w:spacing w:after="0" w:line="540" w:lineRule="exact"/>
        <w:ind w:firstLine="480" w:firstLineChars="200"/>
        <w:jc w:val="both"/>
        <w:rPr>
          <w:rFonts w:ascii="楷体" w:hAnsi="楷体" w:eastAsia="楷体" w:cs="Times New Roman"/>
          <w:sz w:val="24"/>
        </w:rPr>
      </w:pPr>
    </w:p>
    <w:p w14:paraId="7C5705D7">
      <w:pPr>
        <w:kinsoku w:val="0"/>
        <w:overflowPunct w:val="0"/>
        <w:autoSpaceDE w:val="0"/>
        <w:autoSpaceDN w:val="0"/>
        <w:adjustRightInd w:val="0"/>
        <w:snapToGrid w:val="0"/>
        <w:spacing w:before="156" w:beforeLines="50" w:after="62" w:afterLines="20" w:line="560" w:lineRule="exact"/>
        <w:jc w:val="both"/>
        <w:rPr>
          <w:rFonts w:ascii="黑体" w:hAnsi="黑体" w:eastAsia="黑体" w:cs="Times New Roman"/>
          <w:sz w:val="30"/>
          <w:szCs w:val="30"/>
        </w:rPr>
      </w:pPr>
      <w:r>
        <w:rPr>
          <w:rFonts w:ascii="黑体" w:hAnsi="黑体" w:eastAsia="黑体" w:cs="Times New Roman"/>
          <w:sz w:val="30"/>
          <w:szCs w:val="30"/>
        </w:rPr>
        <w:t>七、微专业课程</w:t>
      </w:r>
    </w:p>
    <w:p w14:paraId="31880470">
      <w:pPr>
        <w:kinsoku w:val="0"/>
        <w:overflowPunct w:val="0"/>
        <w:autoSpaceDE w:val="0"/>
        <w:autoSpaceDN w:val="0"/>
        <w:adjustRightInd w:val="0"/>
        <w:snapToGrid w:val="0"/>
        <w:spacing w:after="0" w:line="540" w:lineRule="exact"/>
        <w:jc w:val="both"/>
        <w:rPr>
          <w:rFonts w:ascii="楷体" w:hAnsi="楷体" w:eastAsia="楷体" w:cs="Times New Roman"/>
          <w:b/>
          <w:bCs/>
          <w:sz w:val="28"/>
          <w:szCs w:val="28"/>
        </w:rPr>
      </w:pPr>
      <w:r>
        <w:rPr>
          <w:rFonts w:ascii="楷体" w:hAnsi="楷体" w:eastAsia="楷体" w:cs="Times New Roman"/>
          <w:b/>
          <w:bCs/>
          <w:sz w:val="28"/>
          <w:szCs w:val="28"/>
        </w:rPr>
        <w:t>（一）课程设置及学时分配表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2540"/>
        <w:gridCol w:w="993"/>
        <w:gridCol w:w="1134"/>
        <w:gridCol w:w="1275"/>
        <w:gridCol w:w="1503"/>
      </w:tblGrid>
      <w:tr w14:paraId="0AB6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jc w:val="center"/>
        </w:trPr>
        <w:tc>
          <w:tcPr>
            <w:tcW w:w="857" w:type="dxa"/>
            <w:shd w:val="clear" w:color="auto" w:fill="auto"/>
            <w:vAlign w:val="center"/>
          </w:tcPr>
          <w:p w14:paraId="04384938">
            <w:pPr>
              <w:spacing w:before="60" w:after="60" w:line="276" w:lineRule="auto"/>
              <w:jc w:val="center"/>
              <w:rPr>
                <w:szCs w:val="28"/>
                <w:lang w:eastAsia="en-US"/>
              </w:rPr>
            </w:pPr>
            <w:r>
              <w:rPr>
                <w:rFonts w:ascii="Times New Roman" w:hAnsi="Times New Roman" w:eastAsia="黑体"/>
                <w:b/>
                <w:szCs w:val="28"/>
                <w:lang w:eastAsia="en-US"/>
              </w:rPr>
              <w:t>序号</w:t>
            </w:r>
          </w:p>
        </w:tc>
        <w:tc>
          <w:tcPr>
            <w:tcW w:w="2540" w:type="dxa"/>
            <w:shd w:val="clear" w:color="auto" w:fill="auto"/>
            <w:vAlign w:val="center"/>
          </w:tcPr>
          <w:p w14:paraId="7E5DA176">
            <w:pPr>
              <w:spacing w:before="60" w:after="60" w:line="276" w:lineRule="auto"/>
              <w:jc w:val="center"/>
              <w:rPr>
                <w:szCs w:val="28"/>
                <w:lang w:eastAsia="en-US"/>
              </w:rPr>
            </w:pPr>
            <w:r>
              <w:rPr>
                <w:rFonts w:ascii="Times New Roman" w:hAnsi="Times New Roman" w:eastAsia="黑体"/>
                <w:b/>
                <w:szCs w:val="28"/>
                <w:lang w:eastAsia="en-US"/>
              </w:rPr>
              <w:t>课程名称</w:t>
            </w:r>
          </w:p>
        </w:tc>
        <w:tc>
          <w:tcPr>
            <w:tcW w:w="993" w:type="dxa"/>
            <w:shd w:val="clear" w:color="auto" w:fill="auto"/>
            <w:vAlign w:val="center"/>
          </w:tcPr>
          <w:p w14:paraId="69082DF1">
            <w:pPr>
              <w:spacing w:before="60" w:after="60" w:line="276" w:lineRule="auto"/>
              <w:jc w:val="center"/>
              <w:rPr>
                <w:szCs w:val="28"/>
                <w:lang w:eastAsia="en-US"/>
              </w:rPr>
            </w:pPr>
            <w:r>
              <w:rPr>
                <w:rFonts w:ascii="Times New Roman" w:hAnsi="Times New Roman" w:eastAsia="黑体"/>
                <w:b/>
                <w:szCs w:val="28"/>
                <w:lang w:eastAsia="en-US"/>
              </w:rPr>
              <w:t>学分</w:t>
            </w:r>
          </w:p>
        </w:tc>
        <w:tc>
          <w:tcPr>
            <w:tcW w:w="1134" w:type="dxa"/>
            <w:shd w:val="clear" w:color="auto" w:fill="auto"/>
            <w:vAlign w:val="center"/>
          </w:tcPr>
          <w:p w14:paraId="79D75CF9">
            <w:pPr>
              <w:spacing w:before="60" w:after="60" w:line="276" w:lineRule="auto"/>
              <w:jc w:val="center"/>
              <w:rPr>
                <w:szCs w:val="28"/>
                <w:lang w:eastAsia="en-US"/>
              </w:rPr>
            </w:pPr>
            <w:r>
              <w:rPr>
                <w:rFonts w:ascii="Times New Roman" w:hAnsi="Times New Roman" w:eastAsia="黑体"/>
                <w:b/>
                <w:szCs w:val="28"/>
                <w:lang w:eastAsia="en-US"/>
              </w:rPr>
              <w:t>学时</w:t>
            </w:r>
          </w:p>
        </w:tc>
        <w:tc>
          <w:tcPr>
            <w:tcW w:w="1275" w:type="dxa"/>
            <w:shd w:val="clear" w:color="auto" w:fill="auto"/>
            <w:vAlign w:val="center"/>
          </w:tcPr>
          <w:p w14:paraId="5616C846">
            <w:pPr>
              <w:spacing w:before="60" w:after="60" w:line="276" w:lineRule="auto"/>
              <w:jc w:val="center"/>
              <w:rPr>
                <w:szCs w:val="28"/>
                <w:lang w:eastAsia="en-US"/>
              </w:rPr>
            </w:pPr>
            <w:r>
              <w:rPr>
                <w:rFonts w:ascii="Times New Roman" w:hAnsi="Times New Roman" w:eastAsia="黑体"/>
                <w:b/>
                <w:szCs w:val="28"/>
                <w:lang w:eastAsia="en-US"/>
              </w:rPr>
              <w:t>开设学期</w:t>
            </w:r>
          </w:p>
        </w:tc>
        <w:tc>
          <w:tcPr>
            <w:tcW w:w="1503" w:type="dxa"/>
            <w:shd w:val="clear" w:color="auto" w:fill="auto"/>
            <w:vAlign w:val="center"/>
          </w:tcPr>
          <w:p w14:paraId="430DFD2C">
            <w:pPr>
              <w:spacing w:before="60" w:after="60" w:line="276" w:lineRule="auto"/>
              <w:jc w:val="center"/>
              <w:rPr>
                <w:szCs w:val="28"/>
                <w:lang w:eastAsia="en-US"/>
              </w:rPr>
            </w:pPr>
            <w:r>
              <w:rPr>
                <w:rFonts w:ascii="Times New Roman" w:hAnsi="Times New Roman" w:eastAsia="黑体"/>
                <w:b/>
                <w:szCs w:val="28"/>
                <w:lang w:eastAsia="en-US"/>
              </w:rPr>
              <w:t>课程性质</w:t>
            </w:r>
          </w:p>
        </w:tc>
      </w:tr>
      <w:tr w14:paraId="590E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7" w:type="dxa"/>
            <w:shd w:val="clear" w:color="auto" w:fill="auto"/>
            <w:vAlign w:val="center"/>
          </w:tcPr>
          <w:p w14:paraId="0F0F561D">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1</w:t>
            </w:r>
          </w:p>
        </w:tc>
        <w:tc>
          <w:tcPr>
            <w:tcW w:w="2540" w:type="dxa"/>
            <w:shd w:val="clear" w:color="auto" w:fill="auto"/>
            <w:vAlign w:val="center"/>
          </w:tcPr>
          <w:p w14:paraId="5A675A45">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健康生理学</w:t>
            </w:r>
          </w:p>
        </w:tc>
        <w:tc>
          <w:tcPr>
            <w:tcW w:w="993" w:type="dxa"/>
            <w:shd w:val="clear" w:color="auto" w:fill="auto"/>
            <w:vAlign w:val="center"/>
          </w:tcPr>
          <w:p w14:paraId="49FEEAB3">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2</w:t>
            </w:r>
          </w:p>
        </w:tc>
        <w:tc>
          <w:tcPr>
            <w:tcW w:w="1134" w:type="dxa"/>
            <w:shd w:val="clear" w:color="auto" w:fill="auto"/>
            <w:vAlign w:val="center"/>
          </w:tcPr>
          <w:p w14:paraId="537EA281">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32</w:t>
            </w:r>
          </w:p>
        </w:tc>
        <w:tc>
          <w:tcPr>
            <w:tcW w:w="1275" w:type="dxa"/>
            <w:shd w:val="clear" w:color="auto" w:fill="auto"/>
            <w:vAlign w:val="center"/>
          </w:tcPr>
          <w:p w14:paraId="3C2D01A9">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第1学期</w:t>
            </w:r>
          </w:p>
        </w:tc>
        <w:tc>
          <w:tcPr>
            <w:tcW w:w="1503" w:type="dxa"/>
            <w:shd w:val="clear" w:color="auto" w:fill="auto"/>
            <w:vAlign w:val="center"/>
          </w:tcPr>
          <w:p w14:paraId="25A57F39">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必修</w:t>
            </w:r>
          </w:p>
        </w:tc>
      </w:tr>
      <w:tr w14:paraId="1D4D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7" w:type="dxa"/>
            <w:shd w:val="clear" w:color="auto" w:fill="auto"/>
            <w:vAlign w:val="center"/>
          </w:tcPr>
          <w:p w14:paraId="1831940F">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2</w:t>
            </w:r>
          </w:p>
        </w:tc>
        <w:tc>
          <w:tcPr>
            <w:tcW w:w="2540" w:type="dxa"/>
            <w:shd w:val="clear" w:color="auto" w:fill="auto"/>
            <w:vAlign w:val="center"/>
          </w:tcPr>
          <w:p w14:paraId="4109C0F7">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食品营养学</w:t>
            </w:r>
          </w:p>
        </w:tc>
        <w:tc>
          <w:tcPr>
            <w:tcW w:w="993" w:type="dxa"/>
            <w:shd w:val="clear" w:color="auto" w:fill="auto"/>
            <w:vAlign w:val="center"/>
          </w:tcPr>
          <w:p w14:paraId="2E3CA271">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2</w:t>
            </w:r>
          </w:p>
        </w:tc>
        <w:tc>
          <w:tcPr>
            <w:tcW w:w="1134" w:type="dxa"/>
            <w:shd w:val="clear" w:color="auto" w:fill="auto"/>
            <w:vAlign w:val="center"/>
          </w:tcPr>
          <w:p w14:paraId="6730934D">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32</w:t>
            </w:r>
          </w:p>
        </w:tc>
        <w:tc>
          <w:tcPr>
            <w:tcW w:w="1275" w:type="dxa"/>
            <w:shd w:val="clear" w:color="auto" w:fill="auto"/>
            <w:vAlign w:val="center"/>
          </w:tcPr>
          <w:p w14:paraId="4D8FF166">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第1学期</w:t>
            </w:r>
          </w:p>
        </w:tc>
        <w:tc>
          <w:tcPr>
            <w:tcW w:w="1503" w:type="dxa"/>
            <w:shd w:val="clear" w:color="auto" w:fill="auto"/>
            <w:vAlign w:val="center"/>
          </w:tcPr>
          <w:p w14:paraId="262CBCA2">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必修</w:t>
            </w:r>
          </w:p>
        </w:tc>
      </w:tr>
      <w:tr w14:paraId="33DC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7" w:type="dxa"/>
            <w:shd w:val="clear" w:color="auto" w:fill="auto"/>
            <w:vAlign w:val="center"/>
          </w:tcPr>
          <w:p w14:paraId="3C640A16">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3</w:t>
            </w:r>
          </w:p>
        </w:tc>
        <w:tc>
          <w:tcPr>
            <w:tcW w:w="2540" w:type="dxa"/>
            <w:shd w:val="clear" w:color="auto" w:fill="auto"/>
            <w:vAlign w:val="center"/>
          </w:tcPr>
          <w:p w14:paraId="64E3D58B">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食品卫生学</w:t>
            </w:r>
          </w:p>
        </w:tc>
        <w:tc>
          <w:tcPr>
            <w:tcW w:w="993" w:type="dxa"/>
            <w:shd w:val="clear" w:color="auto" w:fill="auto"/>
            <w:vAlign w:val="center"/>
          </w:tcPr>
          <w:p w14:paraId="13841063">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2</w:t>
            </w:r>
          </w:p>
        </w:tc>
        <w:tc>
          <w:tcPr>
            <w:tcW w:w="1134" w:type="dxa"/>
            <w:shd w:val="clear" w:color="auto" w:fill="auto"/>
            <w:vAlign w:val="center"/>
          </w:tcPr>
          <w:p w14:paraId="4C75661A">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32</w:t>
            </w:r>
          </w:p>
        </w:tc>
        <w:tc>
          <w:tcPr>
            <w:tcW w:w="1275" w:type="dxa"/>
            <w:shd w:val="clear" w:color="auto" w:fill="auto"/>
            <w:vAlign w:val="center"/>
          </w:tcPr>
          <w:p w14:paraId="4EDADFDE">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第1学期</w:t>
            </w:r>
          </w:p>
        </w:tc>
        <w:tc>
          <w:tcPr>
            <w:tcW w:w="1503" w:type="dxa"/>
            <w:shd w:val="clear" w:color="auto" w:fill="auto"/>
            <w:vAlign w:val="center"/>
          </w:tcPr>
          <w:p w14:paraId="3DCB1B1E">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必修</w:t>
            </w:r>
          </w:p>
        </w:tc>
      </w:tr>
      <w:tr w14:paraId="5FA8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7" w:type="dxa"/>
            <w:shd w:val="clear" w:color="auto" w:fill="auto"/>
            <w:vAlign w:val="center"/>
          </w:tcPr>
          <w:p w14:paraId="21ECF850">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4</w:t>
            </w:r>
          </w:p>
        </w:tc>
        <w:tc>
          <w:tcPr>
            <w:tcW w:w="2540" w:type="dxa"/>
            <w:shd w:val="clear" w:color="auto" w:fill="auto"/>
            <w:vAlign w:val="center"/>
          </w:tcPr>
          <w:p w14:paraId="1AFEE9CF">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营养配餐与设计</w:t>
            </w:r>
          </w:p>
        </w:tc>
        <w:tc>
          <w:tcPr>
            <w:tcW w:w="993" w:type="dxa"/>
            <w:shd w:val="clear" w:color="auto" w:fill="auto"/>
            <w:vAlign w:val="center"/>
          </w:tcPr>
          <w:p w14:paraId="405C6E62">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2</w:t>
            </w:r>
          </w:p>
        </w:tc>
        <w:tc>
          <w:tcPr>
            <w:tcW w:w="1134" w:type="dxa"/>
            <w:shd w:val="clear" w:color="auto" w:fill="auto"/>
            <w:vAlign w:val="center"/>
          </w:tcPr>
          <w:p w14:paraId="35038AAE">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32</w:t>
            </w:r>
          </w:p>
        </w:tc>
        <w:tc>
          <w:tcPr>
            <w:tcW w:w="1275" w:type="dxa"/>
            <w:shd w:val="clear" w:color="auto" w:fill="auto"/>
            <w:vAlign w:val="center"/>
          </w:tcPr>
          <w:p w14:paraId="63EC1052">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第2学期</w:t>
            </w:r>
          </w:p>
        </w:tc>
        <w:tc>
          <w:tcPr>
            <w:tcW w:w="1503" w:type="dxa"/>
            <w:shd w:val="clear" w:color="auto" w:fill="auto"/>
            <w:vAlign w:val="center"/>
          </w:tcPr>
          <w:p w14:paraId="723B1531">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必修</w:t>
            </w:r>
          </w:p>
        </w:tc>
      </w:tr>
      <w:tr w14:paraId="3730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7" w:type="dxa"/>
            <w:shd w:val="clear" w:color="auto" w:fill="auto"/>
            <w:vAlign w:val="center"/>
          </w:tcPr>
          <w:p w14:paraId="71540273">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5</w:t>
            </w:r>
          </w:p>
        </w:tc>
        <w:tc>
          <w:tcPr>
            <w:tcW w:w="2540" w:type="dxa"/>
            <w:shd w:val="clear" w:color="auto" w:fill="auto"/>
            <w:vAlign w:val="center"/>
          </w:tcPr>
          <w:p w14:paraId="3EEEE053">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慢病营养和健康管理</w:t>
            </w:r>
          </w:p>
        </w:tc>
        <w:tc>
          <w:tcPr>
            <w:tcW w:w="993" w:type="dxa"/>
            <w:shd w:val="clear" w:color="auto" w:fill="auto"/>
            <w:vAlign w:val="center"/>
          </w:tcPr>
          <w:p w14:paraId="6D20B561">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2</w:t>
            </w:r>
          </w:p>
        </w:tc>
        <w:tc>
          <w:tcPr>
            <w:tcW w:w="1134" w:type="dxa"/>
            <w:shd w:val="clear" w:color="auto" w:fill="auto"/>
            <w:vAlign w:val="center"/>
          </w:tcPr>
          <w:p w14:paraId="1ADB334A">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32</w:t>
            </w:r>
          </w:p>
        </w:tc>
        <w:tc>
          <w:tcPr>
            <w:tcW w:w="1275" w:type="dxa"/>
            <w:shd w:val="clear" w:color="auto" w:fill="auto"/>
            <w:vAlign w:val="center"/>
          </w:tcPr>
          <w:p w14:paraId="664B6AD5">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第2学期</w:t>
            </w:r>
          </w:p>
        </w:tc>
        <w:tc>
          <w:tcPr>
            <w:tcW w:w="1503" w:type="dxa"/>
            <w:shd w:val="clear" w:color="auto" w:fill="auto"/>
            <w:vAlign w:val="center"/>
          </w:tcPr>
          <w:p w14:paraId="764E5C1F">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必修</w:t>
            </w:r>
          </w:p>
        </w:tc>
      </w:tr>
      <w:tr w14:paraId="742A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7" w:type="dxa"/>
            <w:shd w:val="clear" w:color="auto" w:fill="auto"/>
            <w:vAlign w:val="center"/>
          </w:tcPr>
          <w:p w14:paraId="6D643769">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6</w:t>
            </w:r>
          </w:p>
        </w:tc>
        <w:tc>
          <w:tcPr>
            <w:tcW w:w="2540" w:type="dxa"/>
            <w:shd w:val="clear" w:color="auto" w:fill="auto"/>
            <w:vAlign w:val="center"/>
          </w:tcPr>
          <w:p w14:paraId="38AEA823">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养生膳食制作及品鉴</w:t>
            </w:r>
          </w:p>
        </w:tc>
        <w:tc>
          <w:tcPr>
            <w:tcW w:w="993" w:type="dxa"/>
            <w:shd w:val="clear" w:color="auto" w:fill="auto"/>
            <w:vAlign w:val="center"/>
          </w:tcPr>
          <w:p w14:paraId="1F751D42">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2</w:t>
            </w:r>
          </w:p>
        </w:tc>
        <w:tc>
          <w:tcPr>
            <w:tcW w:w="1134" w:type="dxa"/>
            <w:shd w:val="clear" w:color="auto" w:fill="auto"/>
            <w:vAlign w:val="center"/>
          </w:tcPr>
          <w:p w14:paraId="6AF03EF2">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32</w:t>
            </w:r>
          </w:p>
        </w:tc>
        <w:tc>
          <w:tcPr>
            <w:tcW w:w="1275" w:type="dxa"/>
            <w:shd w:val="clear" w:color="auto" w:fill="auto"/>
            <w:vAlign w:val="center"/>
          </w:tcPr>
          <w:p w14:paraId="1DABBF2E">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第2学期</w:t>
            </w:r>
          </w:p>
        </w:tc>
        <w:tc>
          <w:tcPr>
            <w:tcW w:w="1503" w:type="dxa"/>
            <w:shd w:val="clear" w:color="auto" w:fill="auto"/>
            <w:vAlign w:val="center"/>
          </w:tcPr>
          <w:p w14:paraId="60D20586">
            <w:pPr>
              <w:spacing w:before="60" w:after="60" w:line="276" w:lineRule="auto"/>
              <w:jc w:val="center"/>
              <w:rPr>
                <w:rFonts w:ascii="Times New Roman" w:hAnsi="Times New Roman" w:eastAsia="仿宋" w:cs="Times New Roman"/>
                <w:lang w:eastAsia="en-US"/>
              </w:rPr>
            </w:pPr>
            <w:r>
              <w:rPr>
                <w:rFonts w:ascii="Times New Roman" w:hAnsi="Times New Roman" w:eastAsia="仿宋" w:cs="Times New Roman"/>
                <w:sz w:val="21"/>
                <w:lang w:eastAsia="en-US"/>
              </w:rPr>
              <w:t>必修</w:t>
            </w:r>
          </w:p>
        </w:tc>
      </w:tr>
      <w:tr w14:paraId="0C34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57" w:type="dxa"/>
            <w:shd w:val="clear" w:color="auto" w:fill="auto"/>
            <w:vAlign w:val="center"/>
          </w:tcPr>
          <w:p w14:paraId="2BEA4A79">
            <w:pPr>
              <w:spacing w:before="60" w:after="60" w:line="276" w:lineRule="auto"/>
              <w:jc w:val="center"/>
              <w:rPr>
                <w:lang w:eastAsia="en-US"/>
              </w:rPr>
            </w:pPr>
            <w:r>
              <w:rPr>
                <w:rFonts w:ascii="Times New Roman" w:hAnsi="Times New Roman" w:eastAsia="宋体"/>
                <w:b/>
                <w:sz w:val="21"/>
                <w:lang w:eastAsia="en-US"/>
              </w:rPr>
              <w:t>合计</w:t>
            </w:r>
          </w:p>
        </w:tc>
        <w:tc>
          <w:tcPr>
            <w:tcW w:w="2540" w:type="dxa"/>
            <w:shd w:val="clear" w:color="auto" w:fill="auto"/>
            <w:vAlign w:val="center"/>
          </w:tcPr>
          <w:p w14:paraId="5637DF98">
            <w:pPr>
              <w:spacing w:before="60" w:after="60" w:line="276" w:lineRule="auto"/>
              <w:jc w:val="center"/>
              <w:rPr>
                <w:lang w:eastAsia="en-US"/>
              </w:rPr>
            </w:pPr>
            <w:r>
              <w:rPr>
                <w:rFonts w:ascii="Times New Roman" w:hAnsi="Times New Roman" w:eastAsia="宋体"/>
                <w:b/>
                <w:sz w:val="21"/>
                <w:lang w:eastAsia="en-US"/>
              </w:rPr>
              <w:t>——</w:t>
            </w:r>
          </w:p>
        </w:tc>
        <w:tc>
          <w:tcPr>
            <w:tcW w:w="993" w:type="dxa"/>
            <w:shd w:val="clear" w:color="auto" w:fill="auto"/>
            <w:vAlign w:val="center"/>
          </w:tcPr>
          <w:p w14:paraId="3889A9AE">
            <w:pPr>
              <w:spacing w:before="60" w:after="60" w:line="276" w:lineRule="auto"/>
              <w:jc w:val="center"/>
              <w:rPr>
                <w:lang w:eastAsia="en-US"/>
              </w:rPr>
            </w:pPr>
            <w:r>
              <w:rPr>
                <w:rFonts w:ascii="Times New Roman" w:hAnsi="Times New Roman" w:eastAsia="宋体"/>
                <w:b/>
                <w:sz w:val="21"/>
                <w:lang w:eastAsia="en-US"/>
              </w:rPr>
              <w:t>12</w:t>
            </w:r>
          </w:p>
        </w:tc>
        <w:tc>
          <w:tcPr>
            <w:tcW w:w="1134" w:type="dxa"/>
            <w:shd w:val="clear" w:color="auto" w:fill="auto"/>
            <w:vAlign w:val="center"/>
          </w:tcPr>
          <w:p w14:paraId="143F3B6D">
            <w:pPr>
              <w:spacing w:before="60" w:after="60" w:line="276" w:lineRule="auto"/>
              <w:jc w:val="center"/>
              <w:rPr>
                <w:lang w:eastAsia="en-US"/>
              </w:rPr>
            </w:pPr>
            <w:r>
              <w:rPr>
                <w:rFonts w:ascii="Times New Roman" w:hAnsi="Times New Roman" w:eastAsia="宋体"/>
                <w:b/>
                <w:sz w:val="21"/>
                <w:lang w:eastAsia="en-US"/>
              </w:rPr>
              <w:t>192</w:t>
            </w:r>
          </w:p>
        </w:tc>
        <w:tc>
          <w:tcPr>
            <w:tcW w:w="1275" w:type="dxa"/>
            <w:shd w:val="clear" w:color="auto" w:fill="auto"/>
            <w:vAlign w:val="center"/>
          </w:tcPr>
          <w:p w14:paraId="58D77573">
            <w:pPr>
              <w:spacing w:before="60" w:after="60" w:line="276" w:lineRule="auto"/>
              <w:jc w:val="center"/>
              <w:rPr>
                <w:lang w:eastAsia="en-US"/>
              </w:rPr>
            </w:pPr>
            <w:r>
              <w:rPr>
                <w:rFonts w:ascii="Times New Roman" w:hAnsi="Times New Roman" w:eastAsia="宋体"/>
                <w:b/>
                <w:sz w:val="21"/>
                <w:lang w:eastAsia="en-US"/>
              </w:rPr>
              <w:t>——</w:t>
            </w:r>
          </w:p>
        </w:tc>
        <w:tc>
          <w:tcPr>
            <w:tcW w:w="1503" w:type="dxa"/>
            <w:shd w:val="clear" w:color="auto" w:fill="auto"/>
            <w:vAlign w:val="center"/>
          </w:tcPr>
          <w:p w14:paraId="5CC1A719">
            <w:pPr>
              <w:spacing w:before="60" w:after="60" w:line="276" w:lineRule="auto"/>
              <w:jc w:val="center"/>
              <w:rPr>
                <w:lang w:eastAsia="en-US"/>
              </w:rPr>
            </w:pPr>
            <w:r>
              <w:rPr>
                <w:rFonts w:ascii="Times New Roman" w:hAnsi="Times New Roman" w:eastAsia="宋体"/>
                <w:b/>
                <w:sz w:val="21"/>
                <w:lang w:eastAsia="en-US"/>
              </w:rPr>
              <w:t>——</w:t>
            </w:r>
          </w:p>
        </w:tc>
      </w:tr>
    </w:tbl>
    <w:p w14:paraId="506B74E0">
      <w:pPr>
        <w:spacing w:before="80" w:after="120"/>
      </w:pPr>
      <w:r>
        <w:rPr>
          <w:rFonts w:ascii="Times New Roman" w:hAnsi="Times New Roman" w:eastAsia="楷体"/>
          <w:sz w:val="18"/>
        </w:rPr>
        <w:t>注：课程安排如有调整，以开课前公布的课表为准。</w:t>
      </w:r>
    </w:p>
    <w:p w14:paraId="7C0CA087">
      <w:pPr>
        <w:kinsoku w:val="0"/>
        <w:overflowPunct w:val="0"/>
        <w:autoSpaceDE w:val="0"/>
        <w:autoSpaceDN w:val="0"/>
        <w:adjustRightInd w:val="0"/>
        <w:snapToGrid w:val="0"/>
        <w:spacing w:after="0" w:line="540" w:lineRule="exact"/>
        <w:jc w:val="both"/>
        <w:rPr>
          <w:rFonts w:ascii="楷体" w:hAnsi="楷体" w:eastAsia="楷体" w:cs="Times New Roman"/>
          <w:b/>
          <w:bCs/>
          <w:sz w:val="28"/>
          <w:szCs w:val="28"/>
        </w:rPr>
      </w:pPr>
      <w:r>
        <w:rPr>
          <w:rFonts w:hint="eastAsia" w:ascii="楷体" w:hAnsi="楷体" w:eastAsia="楷体" w:cs="Times New Roman"/>
          <w:b/>
          <w:bCs/>
          <w:sz w:val="28"/>
          <w:szCs w:val="28"/>
        </w:rPr>
        <w:t>（二）课程简介</w:t>
      </w:r>
    </w:p>
    <w:p w14:paraId="396E14FC">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1. 健康生理学</w:t>
      </w:r>
    </w:p>
    <w:p w14:paraId="7C701794">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系统讲授人体各系统（消化、循环、内分泌、泌尿、神经等）的正常形态结构与生理功能。重点讲解消化吸收生理、能量代谢、营养素在体内的转运与利用等与营养学密切相关的基础知识，为后续课程奠定人体科学基础。</w:t>
      </w:r>
    </w:p>
    <w:p w14:paraId="49C77013">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2. 食品营养学</w:t>
      </w:r>
    </w:p>
    <w:p w14:paraId="4E483C65">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系统讲授六大营养素（蛋白质、脂类、碳水化合物、维生素、矿物质、水）的生理功能、消化吸收与代谢规律，各类食物的营养价值及影响因素，不同人群（婴幼儿、儿童青少年、孕妇乳母、老年人）的营养需求与膳食指南，以及营养与慢性疾病的关系。直接对接健康管理师、营养指导员等职业技能考核中营养学基础知识模块。</w:t>
      </w:r>
    </w:p>
    <w:p w14:paraId="5C372096">
      <w:pPr>
        <w:kinsoku w:val="0"/>
        <w:overflowPunct w:val="0"/>
        <w:autoSpaceDE w:val="0"/>
        <w:autoSpaceDN w:val="0"/>
        <w:adjustRightInd w:val="0"/>
        <w:snapToGrid w:val="0"/>
        <w:spacing w:after="0" w:line="540" w:lineRule="exact"/>
        <w:ind w:firstLine="562" w:firstLineChars="200"/>
        <w:jc w:val="both"/>
        <w:rPr>
          <w:rFonts w:ascii="Calibri" w:hAnsi="Calibri" w:eastAsia="楷体" w:cs="Calibri"/>
          <w:szCs w:val="22"/>
        </w:rPr>
      </w:pPr>
      <w:r>
        <w:rPr>
          <w:rFonts w:hint="eastAsia" w:ascii="Times New Roman" w:hAnsi="Times New Roman" w:eastAsia="仿宋" w:cs="Times New Roman"/>
          <w:b/>
          <w:bCs/>
          <w:sz w:val="28"/>
          <w:szCs w:val="28"/>
        </w:rPr>
        <w:t>3. 食品卫生学</w:t>
      </w:r>
      <w:r>
        <w:rPr>
          <w:rFonts w:ascii="楷体" w:hAnsi="楷体" w:eastAsia="楷体" w:cs="楷体"/>
          <w:bCs/>
          <w:sz w:val="28"/>
          <w:szCs w:val="28"/>
        </w:rPr>
        <w:t>（含食品添加剂、功能性饮料等）</w:t>
      </w:r>
    </w:p>
    <w:p w14:paraId="29F363E0">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讲授食品中生物性、化学性和物理性危害因素的来源、危害机制及预防控制措施；食品添加剂的安全使用与管理；功能性饮料的配方设计、功效成分与安全性评价；食品安全风险评估与标准体系，食物中毒的预防与处置等内容。培养食品安全意识与风险分析能力，确保在营养指导与健康管理工作中兼顾食品安全要求。</w:t>
      </w:r>
    </w:p>
    <w:p w14:paraId="7F08CAC5">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4. 营养配餐与设计</w:t>
      </w:r>
    </w:p>
    <w:p w14:paraId="57F31878">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以《中国居民膳食指南（2022）》和《中国居民膳食营养素参考摄入量（2023版）》为依据，讲授膳食调查与评价方法（24小时回顾法、记账法等）、食物交换份法的应用、不同人群及疾病状态下的营养配餐设计与食谱编制技术。通过实操训练，使学生掌握针对健康人群和常见慢性病人群制定个性化膳食方案的能力，对接营养指导员考核中膳食设计与评估模块的技能要求。</w:t>
      </w:r>
    </w:p>
    <w:p w14:paraId="3A99F6DC">
      <w:pPr>
        <w:kinsoku w:val="0"/>
        <w:overflowPunct w:val="0"/>
        <w:autoSpaceDE w:val="0"/>
        <w:autoSpaceDN w:val="0"/>
        <w:adjustRightInd w:val="0"/>
        <w:snapToGrid w:val="0"/>
        <w:spacing w:after="0" w:line="540" w:lineRule="exact"/>
        <w:ind w:firstLine="562" w:firstLineChars="200"/>
        <w:jc w:val="both"/>
        <w:rPr>
          <w:rFonts w:ascii="Calibri" w:hAnsi="Calibri" w:eastAsia="楷体" w:cs="Calibri"/>
          <w:szCs w:val="22"/>
        </w:rPr>
      </w:pPr>
      <w:r>
        <w:rPr>
          <w:rFonts w:hint="eastAsia" w:ascii="Times New Roman" w:hAnsi="Times New Roman" w:eastAsia="仿宋" w:cs="Times New Roman"/>
          <w:b/>
          <w:bCs/>
          <w:sz w:val="28"/>
          <w:szCs w:val="28"/>
        </w:rPr>
        <w:t>5. 慢病营养和健康管理</w:t>
      </w:r>
      <w:r>
        <w:rPr>
          <w:rFonts w:ascii="楷体" w:hAnsi="楷体" w:eastAsia="楷体" w:cs="楷体"/>
          <w:bCs/>
          <w:sz w:val="28"/>
          <w:szCs w:val="28"/>
        </w:rPr>
        <w:t>（糖尿病、肿瘤患者、阿尔茨海默病、高血压等）</w:t>
      </w:r>
    </w:p>
    <w:p w14:paraId="76CCB545">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聚焦糖尿病、肿瘤、阿尔茨海默病（老年痴呆）、高血压等常见慢性病和特殊人群的营养管理，讲授疾病代谢特点、营养评估方法、营养支持原则、膳食干预策略及健康管理流程。通过案例分析与实操训练，使学生掌握慢病患者营养筛查、方案制定和食谱编制的基本技能，能够为慢病人群提供专业的营养指导与健康管理服务。</w:t>
      </w:r>
    </w:p>
    <w:p w14:paraId="26531307">
      <w:pPr>
        <w:kinsoku w:val="0"/>
        <w:overflowPunct w:val="0"/>
        <w:autoSpaceDE w:val="0"/>
        <w:autoSpaceDN w:val="0"/>
        <w:adjustRightInd w:val="0"/>
        <w:snapToGrid w:val="0"/>
        <w:spacing w:after="0" w:line="540" w:lineRule="exact"/>
        <w:ind w:firstLine="562" w:firstLineChars="200"/>
        <w:jc w:val="both"/>
        <w:rPr>
          <w:rFonts w:ascii="Times New Roman" w:hAnsi="Times New Roman" w:eastAsia="仿宋" w:cs="Times New Roman"/>
          <w:b/>
          <w:bCs/>
          <w:sz w:val="28"/>
          <w:szCs w:val="28"/>
        </w:rPr>
      </w:pPr>
      <w:r>
        <w:rPr>
          <w:rFonts w:hint="eastAsia" w:ascii="Times New Roman" w:hAnsi="Times New Roman" w:eastAsia="仿宋" w:cs="Times New Roman"/>
          <w:b/>
          <w:bCs/>
          <w:sz w:val="28"/>
          <w:szCs w:val="28"/>
        </w:rPr>
        <w:t>6. 养生膳食制作及品鉴</w:t>
      </w:r>
    </w:p>
    <w:p w14:paraId="5C0DA9DD">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将营养学理论与中华传统饮食养生文化相结合，讲授药食同源食材的营养特点与功能，中式养生膳食的配伍原理与制作工艺，减盐减油减糖的烹调技术，以及针对老年人、慢性病人群和不同季节的养生膳食方案设计与品鉴方法。通过动手实践与品鉴训练，使学生掌握常见养生膳食的制作技能和感官评价方法，兼具科学性与实用性。</w:t>
      </w:r>
    </w:p>
    <w:p w14:paraId="133A7794">
      <w:pPr>
        <w:kinsoku w:val="0"/>
        <w:overflowPunct w:val="0"/>
        <w:autoSpaceDE w:val="0"/>
        <w:autoSpaceDN w:val="0"/>
        <w:adjustRightInd w:val="0"/>
        <w:snapToGrid w:val="0"/>
        <w:spacing w:before="156" w:beforeLines="50" w:after="62" w:afterLines="20" w:line="560" w:lineRule="exact"/>
        <w:jc w:val="both"/>
        <w:rPr>
          <w:rFonts w:ascii="黑体" w:hAnsi="黑体" w:eastAsia="黑体" w:cs="Times New Roman"/>
          <w:sz w:val="30"/>
          <w:szCs w:val="30"/>
        </w:rPr>
      </w:pPr>
      <w:r>
        <w:rPr>
          <w:rFonts w:hint="eastAsia" w:ascii="黑体" w:hAnsi="黑体" w:eastAsia="黑体" w:cs="Times New Roman"/>
          <w:sz w:val="30"/>
          <w:szCs w:val="30"/>
        </w:rPr>
        <w:t>八、报名和咨询</w:t>
      </w:r>
    </w:p>
    <w:p w14:paraId="450A18A5">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仿宋" w:cs="Times New Roman"/>
          <w:sz w:val="28"/>
          <w:szCs w:val="28"/>
        </w:rPr>
        <w:t>有</w:t>
      </w:r>
      <w:r>
        <w:rPr>
          <w:rFonts w:hint="eastAsia" w:ascii="Times New Roman" w:hAnsi="Times New Roman" w:eastAsia="楷体" w:cs="Times New Roman"/>
          <w:sz w:val="28"/>
          <w:szCs w:val="28"/>
        </w:rPr>
        <w:t>意报名的同学请加入QQ群（群号：807387491），下载并填写《江苏师范大学学生微专业申请表》，并于</w:t>
      </w:r>
      <w:r>
        <w:rPr>
          <w:rFonts w:hint="eastAsia" w:ascii="Times New Roman" w:hAnsi="Times New Roman" w:eastAsia="仿宋" w:cs="Times New Roman"/>
          <w:b/>
          <w:sz w:val="28"/>
          <w:szCs w:val="28"/>
        </w:rPr>
        <w:t>10月30日17:15前</w:t>
      </w:r>
      <w:r>
        <w:rPr>
          <w:rFonts w:hint="eastAsia" w:ascii="Times New Roman" w:hAnsi="Times New Roman" w:eastAsia="楷体" w:cs="Times New Roman"/>
          <w:sz w:val="28"/>
          <w:szCs w:val="28"/>
        </w:rPr>
        <w:t>报送至教务处。</w:t>
      </w:r>
    </w:p>
    <w:p w14:paraId="2F604E67">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报名咨询与联系人：叶老师（15852089340，微信同号）</w:t>
      </w:r>
    </w:p>
    <w:p w14:paraId="1CACA4CE">
      <w:pPr>
        <w:kinsoku w:val="0"/>
        <w:overflowPunct w:val="0"/>
        <w:autoSpaceDE w:val="0"/>
        <w:autoSpaceDN w:val="0"/>
        <w:adjustRightInd w:val="0"/>
        <w:snapToGrid w:val="0"/>
        <w:spacing w:after="0" w:line="540" w:lineRule="exact"/>
        <w:ind w:firstLine="560" w:firstLineChars="200"/>
        <w:jc w:val="both"/>
        <w:rPr>
          <w:rFonts w:ascii="Times New Roman" w:hAnsi="Times New Roman" w:eastAsia="楷体" w:cs="Times New Roman"/>
          <w:sz w:val="28"/>
          <w:szCs w:val="28"/>
        </w:rPr>
      </w:pPr>
      <w:r>
        <w:rPr>
          <w:rFonts w:hint="eastAsia" w:ascii="Times New Roman" w:hAnsi="Times New Roman" w:eastAsia="楷体" w:cs="Times New Roman"/>
          <w:sz w:val="28"/>
          <w:szCs w:val="28"/>
        </w:rPr>
        <w:t>QQ群二维码：</w:t>
      </w:r>
    </w:p>
    <w:p w14:paraId="263B2F15">
      <w:pPr>
        <w:kinsoku w:val="0"/>
        <w:overflowPunct w:val="0"/>
        <w:autoSpaceDE w:val="0"/>
        <w:autoSpaceDN w:val="0"/>
        <w:adjustRightInd w:val="0"/>
        <w:snapToGrid w:val="0"/>
        <w:spacing w:after="0" w:line="360" w:lineRule="auto"/>
        <w:jc w:val="center"/>
      </w:pPr>
      <w:r>
        <w:rPr>
          <w14:ligatures w14:val="none"/>
        </w:rPr>
        <w:drawing>
          <wp:inline distT="0" distB="0" distL="0" distR="0">
            <wp:extent cx="2590165" cy="3497580"/>
            <wp:effectExtent l="0" t="0" r="63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603897" cy="3515587"/>
                    </a:xfrm>
                    <a:prstGeom prst="rect">
                      <a:avLst/>
                    </a:prstGeom>
                  </pic:spPr>
                </pic:pic>
              </a:graphicData>
            </a:graphic>
          </wp:inline>
        </w:drawing>
      </w:r>
    </w:p>
    <w:p w14:paraId="74F816E1">
      <w:pPr>
        <w:kinsoku w:val="0"/>
        <w:overflowPunct w:val="0"/>
        <w:autoSpaceDE w:val="0"/>
        <w:autoSpaceDN w:val="0"/>
        <w:adjustRightInd w:val="0"/>
        <w:snapToGrid w:val="0"/>
        <w:spacing w:after="0" w:line="360" w:lineRule="auto"/>
        <w:jc w:val="center"/>
        <w:rPr>
          <w:sz w:val="28"/>
          <w:szCs w:val="28"/>
        </w:rPr>
      </w:pPr>
    </w:p>
    <w:p w14:paraId="6A3511AD">
      <w:pPr>
        <w:kinsoku w:val="0"/>
        <w:overflowPunct w:val="0"/>
        <w:autoSpaceDE w:val="0"/>
        <w:autoSpaceDN w:val="0"/>
        <w:adjustRightInd w:val="0"/>
        <w:snapToGrid w:val="0"/>
        <w:spacing w:after="0" w:line="360" w:lineRule="auto"/>
        <w:jc w:val="center"/>
        <w:rPr>
          <w:b/>
          <w:bCs/>
          <w:sz w:val="28"/>
          <w:szCs w:val="28"/>
        </w:rPr>
      </w:pPr>
      <w:r>
        <w:rPr>
          <w:b/>
          <w:bCs/>
          <w:sz w:val="28"/>
          <w:szCs w:val="28"/>
        </w:rPr>
        <w:t>报名截止10月30日17:15　｜　名额有限（仅招40人），小班教学，先到先得！</w:t>
      </w:r>
    </w:p>
    <w:p w14:paraId="51A00437">
      <w:pPr>
        <w:kinsoku w:val="0"/>
        <w:overflowPunct w:val="0"/>
        <w:autoSpaceDE w:val="0"/>
        <w:autoSpaceDN w:val="0"/>
        <w:adjustRightInd w:val="0"/>
        <w:snapToGrid w:val="0"/>
        <w:spacing w:after="0" w:line="360" w:lineRule="auto"/>
        <w:jc w:val="center"/>
        <w:rPr>
          <w:sz w:val="28"/>
          <w:szCs w:val="28"/>
        </w:rPr>
      </w:pPr>
      <w:r>
        <w:rPr>
          <w:b/>
          <w:bCs/>
          <w:sz w:val="28"/>
          <w:szCs w:val="28"/>
        </w:rPr>
        <w:t>期待你的加入，共同开启大健康产业的职业新篇章！</w:t>
      </w:r>
    </w:p>
    <w:sectPr>
      <w:footerReference r:id="rId5" w:type="default"/>
      <w:pgSz w:w="11906" w:h="16838"/>
      <w:pgMar w:top="1417" w:right="1474" w:bottom="1417" w:left="1474" w:header="851" w:footer="510" w:gutter="0"/>
      <w:paperSrc/>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5146177"/>
      <w:docPartObj>
        <w:docPartGallery w:val="AutoText"/>
      </w:docPartObj>
    </w:sdtPr>
    <w:sdtEndPr>
      <w:rPr>
        <w:rFonts w:ascii="Times New Roman" w:hAnsi="Times New Roman" w:cs="Times New Roman"/>
        <w:sz w:val="22"/>
        <w:szCs w:val="22"/>
      </w:rPr>
    </w:sdtEndPr>
    <w:sdtContent>
      <w:p w14:paraId="171E5A6B">
        <w:pPr>
          <w:pStyle w:val="11"/>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PAGE   \* MERGEFORMAT</w:instrText>
        </w:r>
        <w:r>
          <w:rPr>
            <w:rFonts w:ascii="Times New Roman" w:hAnsi="Times New Roman" w:cs="Times New Roman"/>
            <w:sz w:val="22"/>
            <w:szCs w:val="22"/>
          </w:rPr>
          <w:fldChar w:fldCharType="separate"/>
        </w:r>
        <w:r>
          <w:rPr>
            <w:rFonts w:ascii="Times New Roman" w:hAnsi="Times New Roman" w:cs="Times New Roman"/>
            <w:sz w:val="22"/>
            <w:szCs w:val="22"/>
            <w:lang w:val="zh-CN"/>
          </w:rPr>
          <w:t>2</w:t>
        </w:r>
        <w:r>
          <w:rPr>
            <w:rFonts w:ascii="Times New Roman" w:hAnsi="Times New Roman" w:cs="Times New Roman"/>
            <w:sz w:val="22"/>
            <w:szCs w:val="22"/>
          </w:rPr>
          <w:fldChar w:fldCharType="end"/>
        </w:r>
      </w:p>
    </w:sdtContent>
  </w:sdt>
  <w:p w14:paraId="27201FD4">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EF6D8A"/>
    <w:multiLevelType w:val="multilevel"/>
    <w:tmpl w:val="43EF6D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74"/>
    <w:rsid w:val="00016B6F"/>
    <w:rsid w:val="000571E6"/>
    <w:rsid w:val="00092F4E"/>
    <w:rsid w:val="000F3A89"/>
    <w:rsid w:val="000F4738"/>
    <w:rsid w:val="0010279E"/>
    <w:rsid w:val="00126BFF"/>
    <w:rsid w:val="001A1EC7"/>
    <w:rsid w:val="00232E23"/>
    <w:rsid w:val="00254F2F"/>
    <w:rsid w:val="0027193C"/>
    <w:rsid w:val="00285BE5"/>
    <w:rsid w:val="002C354F"/>
    <w:rsid w:val="0031337D"/>
    <w:rsid w:val="00425921"/>
    <w:rsid w:val="004A08FA"/>
    <w:rsid w:val="00570EED"/>
    <w:rsid w:val="00573C67"/>
    <w:rsid w:val="005924EB"/>
    <w:rsid w:val="005E0F70"/>
    <w:rsid w:val="005F53F3"/>
    <w:rsid w:val="00630A57"/>
    <w:rsid w:val="00691AC4"/>
    <w:rsid w:val="006D1DD4"/>
    <w:rsid w:val="0078492C"/>
    <w:rsid w:val="00821B82"/>
    <w:rsid w:val="00825154"/>
    <w:rsid w:val="008256A5"/>
    <w:rsid w:val="00855517"/>
    <w:rsid w:val="008755B2"/>
    <w:rsid w:val="008A2774"/>
    <w:rsid w:val="008B7D46"/>
    <w:rsid w:val="009613C3"/>
    <w:rsid w:val="00985D17"/>
    <w:rsid w:val="00A137CF"/>
    <w:rsid w:val="00A73068"/>
    <w:rsid w:val="00B21122"/>
    <w:rsid w:val="00C021BE"/>
    <w:rsid w:val="00C53C2B"/>
    <w:rsid w:val="00C900F4"/>
    <w:rsid w:val="00CD40DA"/>
    <w:rsid w:val="00CE25EC"/>
    <w:rsid w:val="00CE4026"/>
    <w:rsid w:val="00D05706"/>
    <w:rsid w:val="00DA1402"/>
    <w:rsid w:val="00E85A10"/>
    <w:rsid w:val="00EB2657"/>
    <w:rsid w:val="00ED5244"/>
    <w:rsid w:val="00FC759D"/>
    <w:rsid w:val="00FF3200"/>
    <w:rsid w:val="01713047"/>
    <w:rsid w:val="02CF1405"/>
    <w:rsid w:val="0C1931EE"/>
    <w:rsid w:val="1F0028D1"/>
    <w:rsid w:val="2F77273B"/>
    <w:rsid w:val="34D4418C"/>
    <w:rsid w:val="35D8110A"/>
    <w:rsid w:val="52576C31"/>
    <w:rsid w:val="5D7874FB"/>
    <w:rsid w:val="63495BC1"/>
    <w:rsid w:val="704F233D"/>
    <w:rsid w:val="71ED1E0E"/>
    <w:rsid w:val="7B4F7695"/>
    <w:rsid w:val="7B7D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3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6"/>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1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5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Intense Quote"/>
    <w:basedOn w:val="1"/>
    <w:next w:val="1"/>
    <w:link w:val="2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19">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0">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明显强调1"/>
    <w:basedOn w:val="17"/>
    <w:qFormat/>
    <w:uiPriority w:val="21"/>
    <w:rPr>
      <w:i/>
      <w:iCs/>
      <w:color w:val="104862" w:themeColor="accent1" w:themeShade="BF"/>
    </w:rPr>
  </w:style>
  <w:style w:type="character" w:customStyle="1" w:styleId="23">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6 字符"/>
    <w:basedOn w:val="17"/>
    <w:link w:val="7"/>
    <w:semiHidden/>
    <w:qFormat/>
    <w:uiPriority w:val="9"/>
    <w:rPr>
      <w:rFonts w:cstheme="majorBidi"/>
      <w:b/>
      <w:bCs/>
      <w:color w:val="104862" w:themeColor="accent1" w:themeShade="BF"/>
    </w:rPr>
  </w:style>
  <w:style w:type="character" w:customStyle="1" w:styleId="25">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26">
    <w:name w:val="western"/>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27">
    <w:name w:val="明显引用 字符"/>
    <w:basedOn w:val="17"/>
    <w:link w:val="18"/>
    <w:qFormat/>
    <w:uiPriority w:val="30"/>
    <w:rPr>
      <w:i/>
      <w:iCs/>
      <w:color w:val="104862" w:themeColor="accent1" w:themeShade="BF"/>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7"/>
    <w:link w:val="28"/>
    <w:qFormat/>
    <w:uiPriority w:val="29"/>
    <w:rPr>
      <w:i/>
      <w:iCs/>
      <w:color w:val="404040" w:themeColor="text1" w:themeTint="BF"/>
      <w14:textFill>
        <w14:solidFill>
          <w14:schemeClr w14:val="tx1">
            <w14:lumMod w14:val="75000"/>
            <w14:lumOff w14:val="25000"/>
          </w14:schemeClr>
        </w14:solidFill>
      </w14:textFill>
    </w:rPr>
  </w:style>
  <w:style w:type="character" w:customStyle="1" w:styleId="30">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31">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3">
    <w:name w:val="明显参考1"/>
    <w:basedOn w:val="17"/>
    <w:qFormat/>
    <w:uiPriority w:val="32"/>
    <w:rPr>
      <w:b/>
      <w:bCs/>
      <w:smallCaps/>
      <w:color w:val="104862" w:themeColor="accent1" w:themeShade="BF"/>
      <w:spacing w:val="5"/>
    </w:rPr>
  </w:style>
  <w:style w:type="character" w:customStyle="1" w:styleId="34">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paragraph" w:styleId="35">
    <w:name w:val="List Paragraph"/>
    <w:basedOn w:val="1"/>
    <w:qFormat/>
    <w:uiPriority w:val="34"/>
    <w:pPr>
      <w:ind w:left="720"/>
      <w:contextualSpacing/>
    </w:pPr>
  </w:style>
  <w:style w:type="character" w:customStyle="1" w:styleId="36">
    <w:name w:val="标题 5 字符"/>
    <w:basedOn w:val="17"/>
    <w:link w:val="6"/>
    <w:semiHidden/>
    <w:qFormat/>
    <w:uiPriority w:val="9"/>
    <w:rPr>
      <w:rFonts w:cstheme="majorBidi"/>
      <w:color w:val="104862" w:themeColor="accent1" w:themeShade="BF"/>
      <w:sz w:val="24"/>
    </w:rPr>
  </w:style>
  <w:style w:type="character" w:customStyle="1" w:styleId="37">
    <w:name w:val="页眉 字符"/>
    <w:basedOn w:val="17"/>
    <w:link w:val="12"/>
    <w:uiPriority w:val="99"/>
    <w:rPr>
      <w:kern w:val="2"/>
      <w:sz w:val="18"/>
      <w:szCs w:val="18"/>
      <w14:ligatures w14:val="standardContextual"/>
    </w:rPr>
  </w:style>
  <w:style w:type="character" w:customStyle="1" w:styleId="38">
    <w:name w:val="页脚 字符"/>
    <w:basedOn w:val="17"/>
    <w:link w:val="11"/>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3617</Words>
  <Characters>3711</Characters>
  <Lines>27</Lines>
  <Paragraphs>7</Paragraphs>
  <TotalTime>1</TotalTime>
  <ScaleCrop>false</ScaleCrop>
  <LinksUpToDate>false</LinksUpToDate>
  <CharactersWithSpaces>3752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2026-10-19T13:06:00Z</dcterms:created>
  <dc:creator>HHM</dc:creator>
  <cp:lastModifiedBy>灵灵</cp:lastModifiedBy>
  <dcterms:modified xsi:type="dcterms:W3CDTF">2026-10-21T10:05:31Z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eyJoZGlkIjoiNzRjNjBhOGU3ZTc5OWM0ZGEyMTM4ODNjODM0NWE0ZGQiLCJ1c2VySWQiOiI0OTA3MDkzODMifQ==</vt:lpwstr>
  </property>
  <property fmtid="{D5CDD505-2E9C-101B-9397-08002B2CF9AE}" pid="3" name="KSOProductBuildVer">
    <vt:lpwstr>2052-12.1.0.28802</vt:lpwstr>
  </property>
  <property fmtid="{D5CDD505-2E9C-101B-9397-08002B2CF9AE}" pid="4" name="ICV">
    <vt:lpwstr>6B3DC5FB90C1427FA9D54DDE49631FE9_13</vt:lpwstr>
  </property>
</Properties>
</file>