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60" w:rsidRPr="00E45C90" w:rsidRDefault="00C06360" w:rsidP="00C06360">
      <w:pPr>
        <w:widowControl/>
        <w:jc w:val="left"/>
        <w:outlineLvl w:val="2"/>
        <w:rPr>
          <w:rFonts w:ascii="microsoft Yahei" w:eastAsia="宋体" w:hAnsi="microsoft Yahei" w:cs="宋体" w:hint="eastAsia"/>
          <w:b/>
          <w:bCs/>
          <w:color w:val="333333"/>
          <w:kern w:val="0"/>
          <w:sz w:val="28"/>
          <w:szCs w:val="28"/>
        </w:rPr>
      </w:pPr>
      <w:bookmarkStart w:id="0" w:name="_GoBack"/>
      <w:r w:rsidRPr="00E45C90">
        <w:rPr>
          <w:rFonts w:ascii="microsoft Yahei" w:eastAsia="宋体" w:hAnsi="microsoft Yahei" w:cs="宋体" w:hint="eastAsia"/>
          <w:b/>
          <w:bCs/>
          <w:color w:val="333333"/>
          <w:kern w:val="0"/>
          <w:sz w:val="28"/>
          <w:szCs w:val="28"/>
        </w:rPr>
        <w:t>附件</w:t>
      </w:r>
      <w:r w:rsidRPr="00E45C90">
        <w:rPr>
          <w:rFonts w:ascii="microsoft Yahei" w:eastAsia="宋体" w:hAnsi="microsoft Yahei" w:cs="宋体" w:hint="eastAsia"/>
          <w:b/>
          <w:bCs/>
          <w:color w:val="333333"/>
          <w:kern w:val="0"/>
          <w:sz w:val="28"/>
          <w:szCs w:val="28"/>
        </w:rPr>
        <w:t>1</w:t>
      </w:r>
    </w:p>
    <w:bookmarkEnd w:id="0"/>
    <w:p w:rsidR="00C35D5F" w:rsidRPr="00C35D5F" w:rsidRDefault="00C35D5F" w:rsidP="00C35D5F">
      <w:pPr>
        <w:widowControl/>
        <w:jc w:val="center"/>
        <w:outlineLvl w:val="2"/>
        <w:rPr>
          <w:rFonts w:ascii="microsoft Yahei" w:eastAsia="宋体" w:hAnsi="microsoft Yahei" w:cs="宋体" w:hint="eastAsia"/>
          <w:b/>
          <w:bCs/>
          <w:color w:val="333333"/>
          <w:kern w:val="0"/>
          <w:sz w:val="42"/>
          <w:szCs w:val="42"/>
        </w:rPr>
      </w:pPr>
      <w:r w:rsidRPr="00C35D5F">
        <w:rPr>
          <w:rFonts w:ascii="microsoft Yahei" w:eastAsia="宋体" w:hAnsi="microsoft Yahei" w:cs="宋体"/>
          <w:b/>
          <w:bCs/>
          <w:color w:val="333333"/>
          <w:kern w:val="0"/>
          <w:sz w:val="42"/>
          <w:szCs w:val="42"/>
        </w:rPr>
        <w:t>国家税务总局关于贯彻执行提高个人所得</w:t>
      </w:r>
      <w:proofErr w:type="gramStart"/>
      <w:r w:rsidRPr="00C35D5F">
        <w:rPr>
          <w:rFonts w:ascii="microsoft Yahei" w:eastAsia="宋体" w:hAnsi="microsoft Yahei" w:cs="宋体"/>
          <w:b/>
          <w:bCs/>
          <w:color w:val="333333"/>
          <w:kern w:val="0"/>
          <w:sz w:val="42"/>
          <w:szCs w:val="42"/>
        </w:rPr>
        <w:t>税有关</w:t>
      </w:r>
      <w:proofErr w:type="gramEnd"/>
      <w:r w:rsidRPr="00C35D5F">
        <w:rPr>
          <w:rFonts w:ascii="microsoft Yahei" w:eastAsia="宋体" w:hAnsi="microsoft Yahei" w:cs="宋体"/>
          <w:b/>
          <w:bCs/>
          <w:color w:val="333333"/>
          <w:kern w:val="0"/>
          <w:sz w:val="42"/>
          <w:szCs w:val="42"/>
        </w:rPr>
        <w:t>专项附加扣除标准政策的公告</w:t>
      </w:r>
    </w:p>
    <w:p w:rsidR="00C35D5F" w:rsidRP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根据《国务院关于提高个人所得税有关专项附加扣除标准的通知》（国发〔</w:t>
      </w:r>
      <w:r>
        <w:rPr>
          <w:rFonts w:ascii="microsoft Yahei" w:hAnsi="microsoft Yahei"/>
          <w:color w:val="333333"/>
          <w:sz w:val="27"/>
          <w:szCs w:val="27"/>
        </w:rPr>
        <w:t>2023</w:t>
      </w:r>
      <w:r>
        <w:rPr>
          <w:rFonts w:ascii="microsoft Yahei" w:hAnsi="microsoft Yahei"/>
          <w:color w:val="333333"/>
          <w:sz w:val="27"/>
          <w:szCs w:val="27"/>
        </w:rPr>
        <w:t>〕</w:t>
      </w:r>
      <w:r>
        <w:rPr>
          <w:rFonts w:ascii="microsoft Yahei" w:hAnsi="microsoft Yahei"/>
          <w:color w:val="333333"/>
          <w:sz w:val="27"/>
          <w:szCs w:val="27"/>
        </w:rPr>
        <w:t>13</w:t>
      </w:r>
      <w:r>
        <w:rPr>
          <w:rFonts w:ascii="microsoft Yahei" w:hAnsi="microsoft Yahei"/>
          <w:color w:val="333333"/>
          <w:sz w:val="27"/>
          <w:szCs w:val="27"/>
        </w:rPr>
        <w:t>号，以下简称《通知》），现就有关贯彻落实事项公告如下：</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一、</w:t>
      </w:r>
      <w:r>
        <w:rPr>
          <w:rFonts w:ascii="microsoft Yahei" w:hAnsi="microsoft Yahei"/>
          <w:color w:val="333333"/>
          <w:sz w:val="27"/>
          <w:szCs w:val="27"/>
        </w:rPr>
        <w:t>3</w:t>
      </w:r>
      <w:r>
        <w:rPr>
          <w:rFonts w:ascii="microsoft Yahei" w:hAnsi="microsoft Yahei"/>
          <w:color w:val="333333"/>
          <w:sz w:val="27"/>
          <w:szCs w:val="27"/>
        </w:rPr>
        <w:t>岁以下婴幼儿照护、子女教育专项附加扣除标准，由每个婴幼儿（子女）每月</w:t>
      </w:r>
      <w:r>
        <w:rPr>
          <w:rFonts w:ascii="microsoft Yahei" w:hAnsi="microsoft Yahei"/>
          <w:color w:val="333333"/>
          <w:sz w:val="27"/>
          <w:szCs w:val="27"/>
        </w:rPr>
        <w:t>1000</w:t>
      </w:r>
      <w:r>
        <w:rPr>
          <w:rFonts w:ascii="microsoft Yahei" w:hAnsi="microsoft Yahei"/>
          <w:color w:val="333333"/>
          <w:sz w:val="27"/>
          <w:szCs w:val="27"/>
        </w:rPr>
        <w:t>元提高到</w:t>
      </w:r>
      <w:r>
        <w:rPr>
          <w:rFonts w:ascii="microsoft Yahei" w:hAnsi="microsoft Yahei"/>
          <w:color w:val="333333"/>
          <w:sz w:val="27"/>
          <w:szCs w:val="27"/>
        </w:rPr>
        <w:t>2000</w:t>
      </w:r>
      <w:r>
        <w:rPr>
          <w:rFonts w:ascii="microsoft Yahei" w:hAnsi="microsoft Yahei"/>
          <w:color w:val="333333"/>
          <w:sz w:val="27"/>
          <w:szCs w:val="27"/>
        </w:rPr>
        <w:t>元。</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父母可以选择由其中一方按扣除标准的</w:t>
      </w:r>
      <w:r>
        <w:rPr>
          <w:rFonts w:ascii="microsoft Yahei" w:hAnsi="microsoft Yahei"/>
          <w:color w:val="333333"/>
          <w:sz w:val="27"/>
          <w:szCs w:val="27"/>
        </w:rPr>
        <w:t>100%</w:t>
      </w:r>
      <w:r>
        <w:rPr>
          <w:rFonts w:ascii="microsoft Yahei" w:hAnsi="microsoft Yahei"/>
          <w:color w:val="333333"/>
          <w:sz w:val="27"/>
          <w:szCs w:val="27"/>
        </w:rPr>
        <w:t>扣除，也可以选择由双方分别按</w:t>
      </w:r>
      <w:r>
        <w:rPr>
          <w:rFonts w:ascii="microsoft Yahei" w:hAnsi="microsoft Yahei"/>
          <w:color w:val="333333"/>
          <w:sz w:val="27"/>
          <w:szCs w:val="27"/>
        </w:rPr>
        <w:t>50%</w:t>
      </w:r>
      <w:r>
        <w:rPr>
          <w:rFonts w:ascii="microsoft Yahei" w:hAnsi="microsoft Yahei"/>
          <w:color w:val="333333"/>
          <w:sz w:val="27"/>
          <w:szCs w:val="27"/>
        </w:rPr>
        <w:t>扣除。</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二、赡养老人专项附加扣除标准，由每月</w:t>
      </w:r>
      <w:r>
        <w:rPr>
          <w:rFonts w:ascii="microsoft Yahei" w:hAnsi="microsoft Yahei"/>
          <w:color w:val="333333"/>
          <w:sz w:val="27"/>
          <w:szCs w:val="27"/>
        </w:rPr>
        <w:t>2000</w:t>
      </w:r>
      <w:r>
        <w:rPr>
          <w:rFonts w:ascii="microsoft Yahei" w:hAnsi="microsoft Yahei"/>
          <w:color w:val="333333"/>
          <w:sz w:val="27"/>
          <w:szCs w:val="27"/>
        </w:rPr>
        <w:t>元提高到</w:t>
      </w:r>
      <w:r>
        <w:rPr>
          <w:rFonts w:ascii="microsoft Yahei" w:hAnsi="microsoft Yahei"/>
          <w:color w:val="333333"/>
          <w:sz w:val="27"/>
          <w:szCs w:val="27"/>
        </w:rPr>
        <w:t>3000</w:t>
      </w:r>
      <w:r>
        <w:rPr>
          <w:rFonts w:ascii="microsoft Yahei" w:hAnsi="microsoft Yahei"/>
          <w:color w:val="333333"/>
          <w:sz w:val="27"/>
          <w:szCs w:val="27"/>
        </w:rPr>
        <w:t>元，其中，独生子女每月扣除</w:t>
      </w:r>
      <w:r>
        <w:rPr>
          <w:rFonts w:ascii="microsoft Yahei" w:hAnsi="microsoft Yahei"/>
          <w:color w:val="333333"/>
          <w:sz w:val="27"/>
          <w:szCs w:val="27"/>
        </w:rPr>
        <w:t>3000</w:t>
      </w:r>
      <w:r>
        <w:rPr>
          <w:rFonts w:ascii="microsoft Yahei" w:hAnsi="microsoft Yahei"/>
          <w:color w:val="333333"/>
          <w:sz w:val="27"/>
          <w:szCs w:val="27"/>
        </w:rPr>
        <w:t>元；非独生子女与兄弟姐妹分摊每月</w:t>
      </w:r>
      <w:r>
        <w:rPr>
          <w:rFonts w:ascii="microsoft Yahei" w:hAnsi="microsoft Yahei"/>
          <w:color w:val="333333"/>
          <w:sz w:val="27"/>
          <w:szCs w:val="27"/>
        </w:rPr>
        <w:t>3000</w:t>
      </w:r>
      <w:r>
        <w:rPr>
          <w:rFonts w:ascii="microsoft Yahei" w:hAnsi="microsoft Yahei"/>
          <w:color w:val="333333"/>
          <w:sz w:val="27"/>
          <w:szCs w:val="27"/>
        </w:rPr>
        <w:t>元的扣除额度，每人不超过</w:t>
      </w:r>
      <w:r>
        <w:rPr>
          <w:rFonts w:ascii="microsoft Yahei" w:hAnsi="microsoft Yahei"/>
          <w:color w:val="333333"/>
          <w:sz w:val="27"/>
          <w:szCs w:val="27"/>
        </w:rPr>
        <w:t>1500</w:t>
      </w:r>
      <w:r>
        <w:rPr>
          <w:rFonts w:ascii="microsoft Yahei" w:hAnsi="microsoft Yahei"/>
          <w:color w:val="333333"/>
          <w:sz w:val="27"/>
          <w:szCs w:val="27"/>
        </w:rPr>
        <w:t>元。</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需要分摊享受的，可以由赡养人均摊或者约定分摊，也可以由被赡养人指定分摊。约定或者指定分摊的须签订书面分摊协议，指定分摊优先于约定分摊。</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三、纳税人尚未填报享受</w:t>
      </w:r>
      <w:r>
        <w:rPr>
          <w:rFonts w:ascii="microsoft Yahei" w:hAnsi="microsoft Yahei"/>
          <w:color w:val="333333"/>
          <w:sz w:val="27"/>
          <w:szCs w:val="27"/>
        </w:rPr>
        <w:t>3</w:t>
      </w:r>
      <w:r>
        <w:rPr>
          <w:rFonts w:ascii="microsoft Yahei" w:hAnsi="microsoft Yahei"/>
          <w:color w:val="333333"/>
          <w:sz w:val="27"/>
          <w:szCs w:val="27"/>
        </w:rPr>
        <w:t>岁以下婴幼儿照护、子女教育、赡养老人专项附加扣除的，可以在手机个人所得税</w:t>
      </w:r>
      <w:r>
        <w:rPr>
          <w:rFonts w:ascii="microsoft Yahei" w:hAnsi="microsoft Yahei"/>
          <w:color w:val="333333"/>
          <w:sz w:val="27"/>
          <w:szCs w:val="27"/>
        </w:rPr>
        <w:t>APP</w:t>
      </w:r>
      <w:r>
        <w:rPr>
          <w:rFonts w:ascii="microsoft Yahei" w:hAnsi="microsoft Yahei"/>
          <w:color w:val="333333"/>
          <w:sz w:val="27"/>
          <w:szCs w:val="27"/>
        </w:rPr>
        <w:t>或通过扣缴义务人填报享受，系统将按照提高后的专项附加扣除标准计算应缴纳的个人所得税。</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lastRenderedPageBreak/>
        <w:t>纳税人在</w:t>
      </w:r>
      <w:r>
        <w:rPr>
          <w:rFonts w:ascii="microsoft Yahei" w:hAnsi="microsoft Yahei"/>
          <w:color w:val="333333"/>
          <w:sz w:val="27"/>
          <w:szCs w:val="27"/>
        </w:rPr>
        <w:t>2023</w:t>
      </w:r>
      <w:r>
        <w:rPr>
          <w:rFonts w:ascii="microsoft Yahei" w:hAnsi="microsoft Yahei"/>
          <w:color w:val="333333"/>
          <w:sz w:val="27"/>
          <w:szCs w:val="27"/>
        </w:rPr>
        <w:t>年度已经填报享受</w:t>
      </w:r>
      <w:r>
        <w:rPr>
          <w:rFonts w:ascii="microsoft Yahei" w:hAnsi="microsoft Yahei"/>
          <w:color w:val="333333"/>
          <w:sz w:val="27"/>
          <w:szCs w:val="27"/>
        </w:rPr>
        <w:t>3</w:t>
      </w:r>
      <w:r>
        <w:rPr>
          <w:rFonts w:ascii="microsoft Yahei" w:hAnsi="microsoft Yahei"/>
          <w:color w:val="333333"/>
          <w:sz w:val="27"/>
          <w:szCs w:val="27"/>
        </w:rPr>
        <w:t>岁以下婴幼儿照护、子女教育、赡养老人专项附加扣除的，无需重新填报，系统将自动按照提高后的专项附加扣除标准计算应缴纳的个人所得税。纳税人对约定分摊或者指定分摊赡养老人专项附加扣除额度有调整的，可以在手机个人所得税</w:t>
      </w:r>
      <w:r>
        <w:rPr>
          <w:rFonts w:ascii="microsoft Yahei" w:hAnsi="microsoft Yahei"/>
          <w:color w:val="333333"/>
          <w:sz w:val="27"/>
          <w:szCs w:val="27"/>
        </w:rPr>
        <w:t>APP</w:t>
      </w:r>
      <w:r>
        <w:rPr>
          <w:rFonts w:ascii="microsoft Yahei" w:hAnsi="microsoft Yahei"/>
          <w:color w:val="333333"/>
          <w:sz w:val="27"/>
          <w:szCs w:val="27"/>
        </w:rPr>
        <w:t>或通过扣缴义务人填报新的分摊额度。</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四、《通知》发布前，纳税人已经填报享受专项附加扣除并扣缴个人所得税的，多缴的税款可以自动抵减纳税人本年度后续月份应纳税款，抵减不完的，可以在</w:t>
      </w:r>
      <w:r>
        <w:rPr>
          <w:rFonts w:ascii="microsoft Yahei" w:hAnsi="microsoft Yahei"/>
          <w:color w:val="333333"/>
          <w:sz w:val="27"/>
          <w:szCs w:val="27"/>
        </w:rPr>
        <w:t>2023</w:t>
      </w:r>
      <w:r>
        <w:rPr>
          <w:rFonts w:ascii="microsoft Yahei" w:hAnsi="microsoft Yahei"/>
          <w:color w:val="333333"/>
          <w:sz w:val="27"/>
          <w:szCs w:val="27"/>
        </w:rPr>
        <w:t>年度综合所得汇算清缴时继续享受。</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五、纳税人对专项附加扣除信息的真实性、准确性、完整性负责，纳税人情况发生变化的，应当及时向扣缴义务人或者税务机关报送新的专项附加扣除信息。对虚假填报享受专项附加扣除的，税务机关将按照《中华人民共和国税收征收管理法》《中华人民共和国个人所得税法》等有关规定处理。</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六、各级税务机关要切实提高政治站位，积极做好政策解读、宣传辅导和政策精准推送工作，便利纳税人享受税收优惠，确保减税红利精准直达。</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七、个人所得税专项附加扣除标准提高涉及的其他管理事项，按照《国务院关于印发个人所得税专项附加扣除暂行办法的通知》（国发〔</w:t>
      </w:r>
      <w:r>
        <w:rPr>
          <w:rFonts w:ascii="microsoft Yahei" w:hAnsi="microsoft Yahei"/>
          <w:color w:val="333333"/>
          <w:sz w:val="27"/>
          <w:szCs w:val="27"/>
        </w:rPr>
        <w:t>2018</w:t>
      </w:r>
      <w:r>
        <w:rPr>
          <w:rFonts w:ascii="microsoft Yahei" w:hAnsi="microsoft Yahei"/>
          <w:color w:val="333333"/>
          <w:sz w:val="27"/>
          <w:szCs w:val="27"/>
        </w:rPr>
        <w:t>〕</w:t>
      </w:r>
      <w:r>
        <w:rPr>
          <w:rFonts w:ascii="microsoft Yahei" w:hAnsi="microsoft Yahei"/>
          <w:color w:val="333333"/>
          <w:sz w:val="27"/>
          <w:szCs w:val="27"/>
        </w:rPr>
        <w:t>41</w:t>
      </w:r>
      <w:r>
        <w:rPr>
          <w:rFonts w:ascii="microsoft Yahei" w:hAnsi="microsoft Yahei"/>
          <w:color w:val="333333"/>
          <w:sz w:val="27"/>
          <w:szCs w:val="27"/>
        </w:rPr>
        <w:t>号）、《国家税务总局关于修订发布〈个人所得税专项附加扣除操作办法（试行）〉的公告》（</w:t>
      </w:r>
      <w:r>
        <w:rPr>
          <w:rFonts w:ascii="microsoft Yahei" w:hAnsi="microsoft Yahei"/>
          <w:color w:val="333333"/>
          <w:sz w:val="27"/>
          <w:szCs w:val="27"/>
        </w:rPr>
        <w:t>2022</w:t>
      </w:r>
      <w:r>
        <w:rPr>
          <w:rFonts w:ascii="microsoft Yahei" w:hAnsi="microsoft Yahei"/>
          <w:color w:val="333333"/>
          <w:sz w:val="27"/>
          <w:szCs w:val="27"/>
        </w:rPr>
        <w:t>年第</w:t>
      </w:r>
      <w:r>
        <w:rPr>
          <w:rFonts w:ascii="microsoft Yahei" w:hAnsi="microsoft Yahei"/>
          <w:color w:val="333333"/>
          <w:sz w:val="27"/>
          <w:szCs w:val="27"/>
        </w:rPr>
        <w:t>7</w:t>
      </w:r>
      <w:r>
        <w:rPr>
          <w:rFonts w:ascii="microsoft Yahei" w:hAnsi="microsoft Yahei"/>
          <w:color w:val="333333"/>
          <w:sz w:val="27"/>
          <w:szCs w:val="27"/>
        </w:rPr>
        <w:t>号）等有关规定执行。</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八、本公告自</w:t>
      </w:r>
      <w:r>
        <w:rPr>
          <w:rFonts w:ascii="microsoft Yahei" w:hAnsi="microsoft Yahei"/>
          <w:color w:val="333333"/>
          <w:sz w:val="27"/>
          <w:szCs w:val="27"/>
        </w:rPr>
        <w:t>2023</w:t>
      </w:r>
      <w:r>
        <w:rPr>
          <w:rFonts w:ascii="microsoft Yahei" w:hAnsi="microsoft Yahei"/>
          <w:color w:val="333333"/>
          <w:sz w:val="27"/>
          <w:szCs w:val="27"/>
        </w:rPr>
        <w:t>年</w:t>
      </w:r>
      <w:r>
        <w:rPr>
          <w:rFonts w:ascii="microsoft Yahei" w:hAnsi="microsoft Yahei"/>
          <w:color w:val="333333"/>
          <w:sz w:val="27"/>
          <w:szCs w:val="27"/>
        </w:rPr>
        <w:t>1</w:t>
      </w:r>
      <w:r>
        <w:rPr>
          <w:rFonts w:ascii="microsoft Yahei" w:hAnsi="microsoft Yahei"/>
          <w:color w:val="333333"/>
          <w:sz w:val="27"/>
          <w:szCs w:val="27"/>
        </w:rPr>
        <w:t>月</w:t>
      </w:r>
      <w:r>
        <w:rPr>
          <w:rFonts w:ascii="microsoft Yahei" w:hAnsi="microsoft Yahei"/>
          <w:color w:val="333333"/>
          <w:sz w:val="27"/>
          <w:szCs w:val="27"/>
        </w:rPr>
        <w:t>1</w:t>
      </w:r>
      <w:r>
        <w:rPr>
          <w:rFonts w:ascii="microsoft Yahei" w:hAnsi="microsoft Yahei"/>
          <w:color w:val="333333"/>
          <w:sz w:val="27"/>
          <w:szCs w:val="27"/>
        </w:rPr>
        <w:t>日起施行。</w:t>
      </w:r>
    </w:p>
    <w:p w:rsidR="00C35D5F" w:rsidRDefault="00C35D5F" w:rsidP="00C35D5F">
      <w:pPr>
        <w:pStyle w:val="a3"/>
        <w:shd w:val="clear" w:color="auto" w:fill="FFFFFF"/>
        <w:spacing w:before="0" w:beforeAutospacing="0" w:after="0" w:afterAutospacing="0" w:line="450" w:lineRule="atLeast"/>
        <w:ind w:firstLine="480"/>
        <w:rPr>
          <w:rFonts w:ascii="microsoft Yahei" w:hAnsi="microsoft Yahei" w:hint="eastAsia"/>
          <w:color w:val="333333"/>
          <w:sz w:val="27"/>
          <w:szCs w:val="27"/>
        </w:rPr>
      </w:pPr>
      <w:r>
        <w:rPr>
          <w:rFonts w:ascii="microsoft Yahei" w:hAnsi="microsoft Yahei"/>
          <w:color w:val="333333"/>
          <w:sz w:val="27"/>
          <w:szCs w:val="27"/>
        </w:rPr>
        <w:t>特此公告。</w:t>
      </w:r>
    </w:p>
    <w:p w:rsidR="00C35D5F" w:rsidRDefault="00C35D5F" w:rsidP="00C35D5F">
      <w:pPr>
        <w:pStyle w:val="a3"/>
        <w:shd w:val="clear" w:color="auto" w:fill="FFFFFF"/>
        <w:spacing w:before="0" w:beforeAutospacing="0" w:after="0" w:afterAutospacing="0" w:line="450" w:lineRule="atLeast"/>
        <w:ind w:firstLine="480"/>
        <w:jc w:val="right"/>
        <w:rPr>
          <w:rFonts w:ascii="microsoft Yahei" w:hAnsi="microsoft Yahei" w:hint="eastAsia"/>
          <w:color w:val="333333"/>
          <w:sz w:val="27"/>
          <w:szCs w:val="27"/>
        </w:rPr>
      </w:pPr>
      <w:r>
        <w:rPr>
          <w:rFonts w:ascii="microsoft Yahei" w:hAnsi="microsoft Yahei"/>
          <w:color w:val="333333"/>
          <w:sz w:val="27"/>
          <w:szCs w:val="27"/>
        </w:rPr>
        <w:lastRenderedPageBreak/>
        <w:t>国家税务总局</w:t>
      </w:r>
    </w:p>
    <w:p w:rsidR="00C35D5F" w:rsidRDefault="00C35D5F" w:rsidP="00C35D5F">
      <w:pPr>
        <w:pStyle w:val="a3"/>
        <w:shd w:val="clear" w:color="auto" w:fill="FFFFFF"/>
        <w:spacing w:before="0" w:beforeAutospacing="0" w:after="0" w:afterAutospacing="0" w:line="450" w:lineRule="atLeast"/>
        <w:ind w:firstLine="480"/>
        <w:jc w:val="right"/>
        <w:rPr>
          <w:rFonts w:ascii="microsoft Yahei" w:hAnsi="microsoft Yahei" w:hint="eastAsia"/>
          <w:color w:val="333333"/>
          <w:sz w:val="27"/>
          <w:szCs w:val="27"/>
        </w:rPr>
      </w:pPr>
      <w:r>
        <w:rPr>
          <w:rFonts w:ascii="microsoft Yahei" w:hAnsi="microsoft Yahei"/>
          <w:color w:val="333333"/>
          <w:sz w:val="27"/>
          <w:szCs w:val="27"/>
        </w:rPr>
        <w:t>2023</w:t>
      </w:r>
      <w:r>
        <w:rPr>
          <w:rFonts w:ascii="microsoft Yahei" w:hAnsi="microsoft Yahei"/>
          <w:color w:val="333333"/>
          <w:sz w:val="27"/>
          <w:szCs w:val="27"/>
        </w:rPr>
        <w:t>年</w:t>
      </w:r>
      <w:r>
        <w:rPr>
          <w:rFonts w:ascii="microsoft Yahei" w:hAnsi="microsoft Yahei"/>
          <w:color w:val="333333"/>
          <w:sz w:val="27"/>
          <w:szCs w:val="27"/>
        </w:rPr>
        <w:t>8</w:t>
      </w:r>
      <w:r>
        <w:rPr>
          <w:rFonts w:ascii="microsoft Yahei" w:hAnsi="microsoft Yahei"/>
          <w:color w:val="333333"/>
          <w:sz w:val="27"/>
          <w:szCs w:val="27"/>
        </w:rPr>
        <w:t>月</w:t>
      </w:r>
      <w:r>
        <w:rPr>
          <w:rFonts w:ascii="microsoft Yahei" w:hAnsi="microsoft Yahei"/>
          <w:color w:val="333333"/>
          <w:sz w:val="27"/>
          <w:szCs w:val="27"/>
        </w:rPr>
        <w:t>30</w:t>
      </w:r>
      <w:r>
        <w:rPr>
          <w:rFonts w:ascii="microsoft Yahei" w:hAnsi="microsoft Yahei"/>
          <w:color w:val="333333"/>
          <w:sz w:val="27"/>
          <w:szCs w:val="27"/>
        </w:rPr>
        <w:t>日</w:t>
      </w:r>
    </w:p>
    <w:sectPr w:rsidR="00C35D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B42" w:rsidRDefault="00BD0B42" w:rsidP="00C06360">
      <w:r>
        <w:separator/>
      </w:r>
    </w:p>
  </w:endnote>
  <w:endnote w:type="continuationSeparator" w:id="0">
    <w:p w:rsidR="00BD0B42" w:rsidRDefault="00BD0B42" w:rsidP="00C0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B42" w:rsidRDefault="00BD0B42" w:rsidP="00C06360">
      <w:r>
        <w:separator/>
      </w:r>
    </w:p>
  </w:footnote>
  <w:footnote w:type="continuationSeparator" w:id="0">
    <w:p w:rsidR="00BD0B42" w:rsidRDefault="00BD0B42" w:rsidP="00C06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D5F"/>
    <w:rsid w:val="00801D3A"/>
    <w:rsid w:val="00BD0B42"/>
    <w:rsid w:val="00C06360"/>
    <w:rsid w:val="00C35D5F"/>
    <w:rsid w:val="00E45C90"/>
    <w:rsid w:val="00F3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5D5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06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6360"/>
    <w:rPr>
      <w:sz w:val="18"/>
      <w:szCs w:val="18"/>
    </w:rPr>
  </w:style>
  <w:style w:type="paragraph" w:styleId="a5">
    <w:name w:val="footer"/>
    <w:basedOn w:val="a"/>
    <w:link w:val="Char0"/>
    <w:uiPriority w:val="99"/>
    <w:unhideWhenUsed/>
    <w:rsid w:val="00C06360"/>
    <w:pPr>
      <w:tabs>
        <w:tab w:val="center" w:pos="4153"/>
        <w:tab w:val="right" w:pos="8306"/>
      </w:tabs>
      <w:snapToGrid w:val="0"/>
      <w:jc w:val="left"/>
    </w:pPr>
    <w:rPr>
      <w:sz w:val="18"/>
      <w:szCs w:val="18"/>
    </w:rPr>
  </w:style>
  <w:style w:type="character" w:customStyle="1" w:styleId="Char0">
    <w:name w:val="页脚 Char"/>
    <w:basedOn w:val="a0"/>
    <w:link w:val="a5"/>
    <w:uiPriority w:val="99"/>
    <w:rsid w:val="00C063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5D5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06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06360"/>
    <w:rPr>
      <w:sz w:val="18"/>
      <w:szCs w:val="18"/>
    </w:rPr>
  </w:style>
  <w:style w:type="paragraph" w:styleId="a5">
    <w:name w:val="footer"/>
    <w:basedOn w:val="a"/>
    <w:link w:val="Char0"/>
    <w:uiPriority w:val="99"/>
    <w:unhideWhenUsed/>
    <w:rsid w:val="00C06360"/>
    <w:pPr>
      <w:tabs>
        <w:tab w:val="center" w:pos="4153"/>
        <w:tab w:val="right" w:pos="8306"/>
      </w:tabs>
      <w:snapToGrid w:val="0"/>
      <w:jc w:val="left"/>
    </w:pPr>
    <w:rPr>
      <w:sz w:val="18"/>
      <w:szCs w:val="18"/>
    </w:rPr>
  </w:style>
  <w:style w:type="character" w:customStyle="1" w:styleId="Char0">
    <w:name w:val="页脚 Char"/>
    <w:basedOn w:val="a0"/>
    <w:link w:val="a5"/>
    <w:uiPriority w:val="99"/>
    <w:rsid w:val="00C063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3262">
      <w:bodyDiv w:val="1"/>
      <w:marLeft w:val="0"/>
      <w:marRight w:val="0"/>
      <w:marTop w:val="0"/>
      <w:marBottom w:val="0"/>
      <w:divBdr>
        <w:top w:val="none" w:sz="0" w:space="0" w:color="auto"/>
        <w:left w:val="none" w:sz="0" w:space="0" w:color="auto"/>
        <w:bottom w:val="none" w:sz="0" w:space="0" w:color="auto"/>
        <w:right w:val="none" w:sz="0" w:space="0" w:color="auto"/>
      </w:divBdr>
    </w:div>
    <w:div w:id="5973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2023-09-08T02:09:00Z</dcterms:created>
  <dcterms:modified xsi:type="dcterms:W3CDTF">2023-09-13T01:48:00Z</dcterms:modified>
</cp:coreProperties>
</file>