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701E9">
      <w:pPr>
        <w:widowControl/>
        <w:spacing w:after="156" w:afterLines="50" w:line="360" w:lineRule="auto"/>
        <w:jc w:val="left"/>
        <w:rPr>
          <w:rFonts w:ascii="Times New Roman" w:hAnsi="Times New Roman" w:eastAsia="宋体" w:cs="Times New Roman"/>
          <w:b/>
          <w:bCs/>
          <w:kern w:val="0"/>
          <w:sz w:val="28"/>
          <w:szCs w:val="28"/>
        </w:rPr>
      </w:pPr>
      <w:bookmarkStart w:id="0" w:name="_GoBack"/>
      <w:bookmarkEnd w:id="0"/>
      <w:r>
        <w:rPr>
          <w:rFonts w:hint="eastAsia" w:ascii="Times New Roman" w:hAnsi="Times New Roman" w:eastAsia="宋体" w:cs="Times New Roman"/>
          <w:b/>
          <w:bCs/>
          <w:kern w:val="0"/>
          <w:sz w:val="28"/>
          <w:szCs w:val="28"/>
        </w:rPr>
        <w:t>公示附件</w:t>
      </w:r>
    </w:p>
    <w:p w14:paraId="7AB33BDB">
      <w:pPr>
        <w:widowControl/>
        <w:spacing w:after="156" w:afterLines="50" w:line="360" w:lineRule="auto"/>
        <w:jc w:val="center"/>
        <w:rPr>
          <w:rFonts w:ascii="Times New Roman" w:hAnsi="Times New Roman" w:eastAsia="宋体" w:cs="Times New Roman"/>
          <w:b/>
          <w:bCs/>
          <w:kern w:val="0"/>
          <w:sz w:val="28"/>
          <w:szCs w:val="28"/>
        </w:rPr>
      </w:pPr>
      <w:r>
        <w:rPr>
          <w:rFonts w:hint="eastAsia" w:ascii="Times New Roman" w:hAnsi="Times New Roman" w:eastAsia="宋体" w:cs="Times New Roman"/>
          <w:b/>
          <w:bCs/>
          <w:kern w:val="0"/>
          <w:sz w:val="28"/>
          <w:szCs w:val="28"/>
        </w:rPr>
        <w:t>2026年度自然资源科学技术奖拟申报项目公示</w:t>
      </w:r>
    </w:p>
    <w:p w14:paraId="1E4E5FAC">
      <w:pPr>
        <w:ind w:firstLine="482" w:firstLineChars="200"/>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一、成果基本情况</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316"/>
      </w:tblGrid>
      <w:tr w14:paraId="507F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Align w:val="center"/>
          </w:tcPr>
          <w:p w14:paraId="60DAED6E">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成果名称</w:t>
            </w:r>
          </w:p>
        </w:tc>
        <w:tc>
          <w:tcPr>
            <w:tcW w:w="6316" w:type="dxa"/>
            <w:vAlign w:val="center"/>
          </w:tcPr>
          <w:p w14:paraId="49D376BE">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面向流域生态化综合开发的国土空间优化关键技术体系及应用</w:t>
            </w:r>
          </w:p>
        </w:tc>
      </w:tr>
      <w:tr w14:paraId="2E3F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Align w:val="center"/>
          </w:tcPr>
          <w:p w14:paraId="3ABEBD3E">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推荐单位</w:t>
            </w:r>
          </w:p>
        </w:tc>
        <w:tc>
          <w:tcPr>
            <w:tcW w:w="6316" w:type="dxa"/>
            <w:vAlign w:val="center"/>
          </w:tcPr>
          <w:p w14:paraId="426EC319">
            <w:pP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中国土地学会土地经济分会</w:t>
            </w:r>
          </w:p>
        </w:tc>
      </w:tr>
      <w:tr w14:paraId="7777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Align w:val="center"/>
          </w:tcPr>
          <w:p w14:paraId="5225C8DF">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主要完成人</w:t>
            </w:r>
          </w:p>
        </w:tc>
        <w:tc>
          <w:tcPr>
            <w:tcW w:w="6316" w:type="dxa"/>
            <w:vAlign w:val="center"/>
          </w:tcPr>
          <w:p w14:paraId="0E97FAA4">
            <w:pP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陈龙高、王秉义、张婷、孙伟、陈龙乾、吴靖梅、马健原、刘翘楚、袁丽娜、王玉纯、于子棋、张宇、戴梅、葛琳、王硕</w:t>
            </w:r>
          </w:p>
        </w:tc>
      </w:tr>
      <w:tr w14:paraId="6686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Align w:val="center"/>
          </w:tcPr>
          <w:p w14:paraId="303C91EC">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主要完成单位</w:t>
            </w:r>
          </w:p>
        </w:tc>
        <w:tc>
          <w:tcPr>
            <w:tcW w:w="6316" w:type="dxa"/>
            <w:vAlign w:val="center"/>
          </w:tcPr>
          <w:p w14:paraId="1EB6D13F">
            <w:pP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中国矿业大学、安徽建筑大学、中国科学院南京地理与湖泊研究所、华东师范大学、南京博地源空间信息科技集团有限公司、内蒙古大学</w:t>
            </w:r>
          </w:p>
        </w:tc>
      </w:tr>
      <w:tr w14:paraId="698F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Align w:val="center"/>
          </w:tcPr>
          <w:p w14:paraId="6F5E4B2F">
            <w:pP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推荐等级</w:t>
            </w:r>
          </w:p>
        </w:tc>
        <w:tc>
          <w:tcPr>
            <w:tcW w:w="6316" w:type="dxa"/>
            <w:vAlign w:val="center"/>
          </w:tcPr>
          <w:p w14:paraId="0F7729E9">
            <w:pP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一等奖或二等奖</w:t>
            </w:r>
          </w:p>
        </w:tc>
      </w:tr>
    </w:tbl>
    <w:p w14:paraId="16F34764">
      <w:pPr>
        <w:spacing w:line="360" w:lineRule="auto"/>
        <w:ind w:firstLine="482" w:firstLineChars="200"/>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二、推荐意见</w:t>
      </w:r>
    </w:p>
    <w:p w14:paraId="5DB465E9">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该成果面向流域生态文明建设要求，围绕流域自然过程连续而管理边界分割、生态保护与开发利用协同不足、规划技术难进入业务流程等共性问题，从理论体系、方法技术和实践应用三个方面构建了面向流域生态化综合开发的国土空间优化关键技术体系，取得了系统性创新成果：一是形成了“生态过程识别—人地关系耦合—跨界协同优化”的理论体系，解决了传统国土空间开发侧重行政单元和静态用地，难解释自然过程连续性、人地反馈及碳效应跨尺度关联的问题；二是创建了“多源感知—耦合诊断—情景推演”的技术体系，突破了流域国土空间优化过程中生态功能难量化、多源因素难比较、规划效果难区分等技术瓶颈，三是构建了“数据协同—模型集成—规划示范”的决策支持实践体系，解决了针对流域国土空间优化中数据基准不一、模型环境异构、成果难复用及技术难进入管理流程等现实问题。成果主线明确，创新链条完整，具有较强的系统性、应用性和推广价值，符合自然资源科学技术奖授奖条件，建议推荐等级为“一等奖或二等奖”。</w:t>
      </w:r>
    </w:p>
    <w:p w14:paraId="404AA6CB">
      <w:pPr>
        <w:spacing w:line="360" w:lineRule="auto"/>
        <w:ind w:firstLine="482" w:firstLineChars="200"/>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三、成果简介</w:t>
      </w:r>
    </w:p>
    <w:p w14:paraId="18A23111">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流域是人类文明的摇篮和中心，是资源环境和人类活动的重要载体，其不仅构成了区域生态安全屏障，更集中了重要的经济带和城市群。作为人与自然的共生空间，流域系统中存在剧烈的人类活动、脆弱的生态系统以及复杂的人地关系。当前，中国流域水资源综合指数排名全世界第</w:t>
      </w:r>
      <w:r>
        <w:rPr>
          <w:rFonts w:ascii="Times New Roman" w:hAnsi="Times New Roman" w:eastAsia="仿宋_GB2312" w:cs="Times New Roman"/>
          <w:kern w:val="0"/>
          <w:sz w:val="24"/>
          <w:szCs w:val="24"/>
        </w:rPr>
        <w:t>67位，主要流域的生态环境压力依然明显。</w:t>
      </w:r>
    </w:p>
    <w:p w14:paraId="2141090F">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面对这一现实挑战，党中央对流域生态文明建设高度重视，在黄河、长江、淮河、海河、珠江等七大流域相继设立管理机构，实施了一系列流域综合治理重大举措并取得了显著成果。但自然过程与行政管理彼此割裂、生态保护与开发利用相互制约的流域空间治理情境尚未根本缓解，人地矛盾依然存在。</w:t>
      </w:r>
    </w:p>
    <w:p w14:paraId="5D7C59FD">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为此，项目针对流域传统土地开发过程中存在的生态过程难识别，规划类型难统一，优化方案难落地三方面瓶颈，从理论体系、方法技术和实践应用三个方面形成了面向流域生态化综合开发的国土空间优化关键技术体系，主要创新如下：在理论上，建立了“生态过程识别—人地关系耦合—跨界协同优化”框架。在技术上，创建了“多源感知—耦合评价—情景推演”技术体系。在应用上，构建了“数据协同—模型集成—规划示范”的决策支持实践体系。项目在理论探索、方法设计和实践推广领域取得了丰硕成果，为保障国家生态文明建设战略实施提供了坚实的科技支撑与应用示范。</w:t>
      </w:r>
    </w:p>
    <w:p w14:paraId="124BB58C">
      <w:pPr>
        <w:spacing w:line="360" w:lineRule="auto"/>
        <w:ind w:firstLine="482" w:firstLineChars="200"/>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四、客观评价</w:t>
      </w:r>
    </w:p>
    <w:p w14:paraId="0A22A2EC">
      <w:pPr>
        <w:spacing w:line="360" w:lineRule="auto"/>
        <w:ind w:firstLine="480" w:firstLineChars="20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20</w:t>
      </w:r>
      <w:r>
        <w:rPr>
          <w:rFonts w:ascii="Times New Roman" w:hAnsi="Times New Roman" w:eastAsia="仿宋_GB2312" w:cs="Times New Roman"/>
          <w:kern w:val="0"/>
          <w:sz w:val="24"/>
          <w:szCs w:val="24"/>
        </w:rPr>
        <w:t>18</w:t>
      </w:r>
      <w:r>
        <w:rPr>
          <w:rFonts w:hint="eastAsia" w:ascii="Times New Roman" w:hAnsi="Times New Roman" w:eastAsia="仿宋_GB2312" w:cs="Times New Roman"/>
          <w:kern w:val="0"/>
          <w:sz w:val="24"/>
          <w:szCs w:val="24"/>
        </w:rPr>
        <w:t>年</w:t>
      </w:r>
      <w:r>
        <w:rPr>
          <w:rFonts w:ascii="Times New Roman" w:hAnsi="Times New Roman" w:eastAsia="仿宋_GB2312" w:cs="Times New Roman"/>
          <w:kern w:val="0"/>
          <w:sz w:val="24"/>
          <w:szCs w:val="24"/>
        </w:rPr>
        <w:t>1</w:t>
      </w:r>
      <w:r>
        <w:rPr>
          <w:rFonts w:hint="eastAsia" w:ascii="Times New Roman" w:hAnsi="Times New Roman" w:eastAsia="仿宋_GB2312" w:cs="Times New Roman"/>
          <w:kern w:val="0"/>
          <w:sz w:val="24"/>
          <w:szCs w:val="24"/>
        </w:rPr>
        <w:t>月</w:t>
      </w:r>
      <w:r>
        <w:rPr>
          <w:rFonts w:ascii="Times New Roman" w:hAnsi="Times New Roman" w:eastAsia="仿宋_GB2312" w:cs="Times New Roman"/>
          <w:kern w:val="0"/>
          <w:sz w:val="24"/>
          <w:szCs w:val="24"/>
        </w:rPr>
        <w:t>6</w:t>
      </w:r>
      <w:r>
        <w:rPr>
          <w:rFonts w:hint="eastAsia" w:ascii="Times New Roman" w:hAnsi="Times New Roman" w:eastAsia="仿宋_GB2312" w:cs="Times New Roman"/>
          <w:kern w:val="0"/>
          <w:sz w:val="24"/>
          <w:szCs w:val="24"/>
        </w:rPr>
        <w:t>日，</w:t>
      </w:r>
      <w:r>
        <w:rPr>
          <w:rFonts w:ascii="Times New Roman" w:hAnsi="Times New Roman" w:eastAsia="仿宋_GB2312" w:cs="Times New Roman"/>
          <w:kern w:val="0"/>
          <w:sz w:val="24"/>
          <w:szCs w:val="24"/>
        </w:rPr>
        <w:t>安徽省国土资源厅</w:t>
      </w:r>
      <w:r>
        <w:rPr>
          <w:rFonts w:hint="eastAsia" w:ascii="Times New Roman" w:hAnsi="Times New Roman" w:eastAsia="仿宋_GB2312" w:cs="Times New Roman"/>
          <w:kern w:val="0"/>
          <w:sz w:val="24"/>
          <w:szCs w:val="24"/>
        </w:rPr>
        <w:t>组织课题验收，验收意见指出，“生态化综合开发的土地利用规划技术研究”</w:t>
      </w:r>
      <w:r>
        <w:rPr>
          <w:rFonts w:ascii="Times New Roman" w:hAnsi="Times New Roman" w:eastAsia="仿宋_GB2312" w:cs="Times New Roman"/>
          <w:kern w:val="0"/>
          <w:sz w:val="24"/>
          <w:szCs w:val="24"/>
        </w:rPr>
        <w:t>开展了土地利用动态变化预测、土地生态功能分区等研究，建立了生态化综合开发的土地利用规划模型，研发了生态化综合开发的土地利用规划方案决策支持系统、巢湖流域土地优化利用决策支持系统，完成了课题任务书规定的研究内容。</w:t>
      </w:r>
      <w:r>
        <w:rPr>
          <w:rFonts w:hint="eastAsia" w:ascii="Times New Roman" w:hAnsi="Times New Roman" w:eastAsia="仿宋_GB2312" w:cs="Times New Roman"/>
          <w:kern w:val="0"/>
          <w:sz w:val="24"/>
          <w:szCs w:val="24"/>
        </w:rPr>
        <w:t>课题组</w:t>
      </w:r>
      <w:r>
        <w:rPr>
          <w:rFonts w:ascii="Times New Roman" w:hAnsi="Times New Roman" w:eastAsia="仿宋_GB2312" w:cs="Times New Roman"/>
          <w:kern w:val="0"/>
          <w:sz w:val="24"/>
          <w:szCs w:val="24"/>
        </w:rPr>
        <w:t>编写了课题研究报告和课题工作报告</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开发了</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巢湖流域生态化综合开发的土地利用规划方案决策支持系统</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和</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巢湖流域土地优化利用决策支持系统</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软件</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选择了合肥市作为示范点，应用了土地利用总体规划调整技术</w:t>
      </w:r>
      <w:r>
        <w:rPr>
          <w:rFonts w:hint="eastAsia" w:ascii="Times New Roman" w:hAnsi="Times New Roman" w:eastAsia="仿宋_GB2312" w:cs="Times New Roman"/>
          <w:kern w:val="0"/>
          <w:sz w:val="24"/>
          <w:szCs w:val="24"/>
        </w:rPr>
        <w:t>并取得良好成效</w:t>
      </w:r>
      <w:r>
        <w:rPr>
          <w:rFonts w:ascii="Times New Roman" w:hAnsi="Times New Roman" w:eastAsia="仿宋_GB2312" w:cs="Times New Roman"/>
          <w:kern w:val="0"/>
          <w:sz w:val="24"/>
          <w:szCs w:val="24"/>
        </w:rPr>
        <w:t>。</w:t>
      </w:r>
      <w:r>
        <w:rPr>
          <w:rFonts w:hint="eastAsia" w:ascii="Times New Roman" w:hAnsi="Times New Roman" w:eastAsia="仿宋_GB2312" w:cs="Times New Roman"/>
          <w:kern w:val="0"/>
          <w:sz w:val="24"/>
          <w:szCs w:val="24"/>
        </w:rPr>
        <w:t>此外，项目成果在</w:t>
      </w:r>
      <w:r>
        <w:rPr>
          <w:rFonts w:ascii="Times New Roman" w:hAnsi="Times New Roman" w:eastAsia="仿宋_GB2312" w:cs="Times New Roman"/>
          <w:kern w:val="0"/>
          <w:sz w:val="24"/>
          <w:szCs w:val="24"/>
        </w:rPr>
        <w:t>《中国土地科学》</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w:t>
      </w:r>
      <w:r>
        <w:rPr>
          <w:rFonts w:hint="eastAsia" w:ascii="Times New Roman" w:hAnsi="Times New Roman" w:eastAsia="仿宋_GB2312" w:cs="Times New Roman"/>
          <w:kern w:val="0"/>
          <w:sz w:val="24"/>
          <w:szCs w:val="24"/>
        </w:rPr>
        <w:t>生态学报</w:t>
      </w:r>
      <w:r>
        <w:rPr>
          <w:rFonts w:ascii="Times New Roman" w:hAnsi="Times New Roman" w:eastAsia="仿宋_GB2312" w:cs="Times New Roman"/>
          <w:kern w:val="0"/>
          <w:sz w:val="24"/>
          <w:szCs w:val="24"/>
        </w:rPr>
        <w:t>》</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Ecological Indicators》</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《Environmental Impact Assessment Review》</w:t>
      </w:r>
      <w:r>
        <w:rPr>
          <w:rFonts w:hint="eastAsia" w:ascii="Times New Roman" w:hAnsi="Times New Roman" w:eastAsia="仿宋_GB2312" w:cs="Times New Roman"/>
          <w:kern w:val="0"/>
          <w:sz w:val="24"/>
          <w:szCs w:val="24"/>
        </w:rPr>
        <w:t>等国内外顶级期刊上发表高质量学术论文</w:t>
      </w:r>
      <w:r>
        <w:rPr>
          <w:rFonts w:ascii="Times New Roman" w:hAnsi="Times New Roman" w:eastAsia="仿宋_GB2312" w:cs="Times New Roman"/>
          <w:kern w:val="0"/>
          <w:sz w:val="24"/>
          <w:szCs w:val="24"/>
        </w:rPr>
        <w:t>100余篇，</w:t>
      </w:r>
      <w:r>
        <w:rPr>
          <w:rFonts w:hint="eastAsia" w:ascii="Times New Roman" w:hAnsi="Times New Roman" w:eastAsia="仿宋_GB2312" w:cs="Times New Roman"/>
          <w:kern w:val="0"/>
          <w:sz w:val="24"/>
          <w:szCs w:val="24"/>
        </w:rPr>
        <w:t>并</w:t>
      </w:r>
      <w:r>
        <w:rPr>
          <w:rFonts w:ascii="Times New Roman" w:hAnsi="Times New Roman" w:eastAsia="仿宋_GB2312" w:cs="Times New Roman"/>
          <w:kern w:val="0"/>
          <w:sz w:val="24"/>
          <w:szCs w:val="24"/>
        </w:rPr>
        <w:t>受到国内外知名学者广泛认可</w:t>
      </w:r>
      <w:r>
        <w:rPr>
          <w:rFonts w:hint="eastAsia" w:ascii="Times New Roman" w:hAnsi="Times New Roman" w:eastAsia="仿宋_GB2312" w:cs="Times New Roman"/>
          <w:kern w:val="0"/>
          <w:sz w:val="24"/>
          <w:szCs w:val="24"/>
        </w:rPr>
        <w:t>。</w:t>
      </w:r>
    </w:p>
    <w:p w14:paraId="403EB08D">
      <w:pPr>
        <w:spacing w:line="360" w:lineRule="auto"/>
        <w:ind w:firstLine="482" w:firstLineChars="200"/>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五、主要知识产权目录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559"/>
        <w:gridCol w:w="5891"/>
      </w:tblGrid>
      <w:tr w14:paraId="7C01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25B84D3">
            <w:pP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序号</w:t>
            </w:r>
          </w:p>
        </w:tc>
        <w:tc>
          <w:tcPr>
            <w:tcW w:w="1559" w:type="dxa"/>
            <w:vAlign w:val="center"/>
          </w:tcPr>
          <w:p w14:paraId="77CBF11F">
            <w:pP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类型</w:t>
            </w:r>
          </w:p>
        </w:tc>
        <w:tc>
          <w:tcPr>
            <w:tcW w:w="5891" w:type="dxa"/>
            <w:vAlign w:val="center"/>
          </w:tcPr>
          <w:p w14:paraId="65EE24AD">
            <w:pP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名称</w:t>
            </w:r>
          </w:p>
        </w:tc>
      </w:tr>
      <w:tr w14:paraId="2030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095C855">
            <w:pP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559" w:type="dxa"/>
            <w:tcBorders>
              <w:top w:val="single" w:color="auto" w:sz="4" w:space="0"/>
              <w:left w:val="single" w:color="auto" w:sz="8" w:space="0"/>
              <w:bottom w:val="single" w:color="auto" w:sz="4" w:space="0"/>
              <w:right w:val="single" w:color="auto" w:sz="4" w:space="0"/>
            </w:tcBorders>
            <w:vAlign w:val="center"/>
          </w:tcPr>
          <w:p w14:paraId="704BCB4B">
            <w:pPr>
              <w:jc w:val="center"/>
              <w:rPr>
                <w:rFonts w:ascii="Times New Roman" w:hAnsi="Times New Roman" w:eastAsia="仿宋_GB2312" w:cs="Times New Roman"/>
                <w:kern w:val="0"/>
                <w:szCs w:val="21"/>
              </w:rPr>
            </w:pPr>
            <w:r>
              <w:rPr>
                <w:rFonts w:hint="eastAsia" w:ascii="Times New Roman" w:hAnsi="Times New Roman"/>
                <w:color w:val="000000"/>
              </w:rPr>
              <w:t>发明专利</w:t>
            </w:r>
          </w:p>
        </w:tc>
        <w:tc>
          <w:tcPr>
            <w:tcW w:w="5891" w:type="dxa"/>
            <w:tcBorders>
              <w:top w:val="single" w:color="auto" w:sz="4" w:space="0"/>
              <w:left w:val="single" w:color="auto" w:sz="4" w:space="0"/>
              <w:bottom w:val="single" w:color="auto" w:sz="4" w:space="0"/>
              <w:right w:val="single" w:color="auto" w:sz="4" w:space="0"/>
            </w:tcBorders>
            <w:vAlign w:val="center"/>
          </w:tcPr>
          <w:p w14:paraId="26C2F4A8">
            <w:pPr>
              <w:jc w:val="center"/>
              <w:rPr>
                <w:rFonts w:ascii="Times New Roman" w:hAnsi="Times New Roman" w:eastAsia="仿宋_GB2312" w:cs="Times New Roman"/>
                <w:kern w:val="0"/>
                <w:szCs w:val="21"/>
              </w:rPr>
            </w:pPr>
            <w:r>
              <w:rPr>
                <w:rFonts w:hint="eastAsia" w:ascii="Times New Roman" w:hAnsi="Times New Roman"/>
                <w:color w:val="000000"/>
              </w:rPr>
              <w:t>基于深度学习地理注意力机制的气象卫星实时降水反演方法</w:t>
            </w:r>
          </w:p>
        </w:tc>
      </w:tr>
      <w:tr w14:paraId="1AEB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8A83DB7">
            <w:pP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559" w:type="dxa"/>
            <w:tcBorders>
              <w:top w:val="single" w:color="000000" w:sz="4" w:space="0"/>
              <w:left w:val="single" w:color="000000" w:sz="8" w:space="0"/>
              <w:bottom w:val="single" w:color="000000" w:sz="4" w:space="0"/>
              <w:right w:val="single" w:color="000000" w:sz="4" w:space="0"/>
            </w:tcBorders>
            <w:vAlign w:val="center"/>
          </w:tcPr>
          <w:p w14:paraId="0582856A">
            <w:pPr>
              <w:jc w:val="center"/>
              <w:rPr>
                <w:rFonts w:ascii="Times New Roman" w:hAnsi="Times New Roman" w:eastAsia="仿宋_GB2312" w:cs="Times New Roman"/>
                <w:kern w:val="0"/>
                <w:szCs w:val="21"/>
              </w:rPr>
            </w:pPr>
            <w:r>
              <w:rPr>
                <w:rFonts w:ascii="Times New Roman" w:hAnsi="Times New Roman"/>
              </w:rPr>
              <w:t>发明专利</w:t>
            </w:r>
          </w:p>
        </w:tc>
        <w:tc>
          <w:tcPr>
            <w:tcW w:w="5891" w:type="dxa"/>
            <w:tcBorders>
              <w:top w:val="single" w:color="000000" w:sz="4" w:space="0"/>
              <w:left w:val="single" w:color="000000" w:sz="4" w:space="0"/>
              <w:bottom w:val="single" w:color="000000" w:sz="4" w:space="0"/>
              <w:right w:val="single" w:color="000000" w:sz="4" w:space="0"/>
            </w:tcBorders>
            <w:vAlign w:val="center"/>
          </w:tcPr>
          <w:p w14:paraId="7B44D6A5">
            <w:pPr>
              <w:jc w:val="center"/>
              <w:rPr>
                <w:rFonts w:ascii="Times New Roman" w:hAnsi="Times New Roman" w:eastAsia="仿宋_GB2312" w:cs="Times New Roman"/>
                <w:kern w:val="0"/>
                <w:szCs w:val="21"/>
              </w:rPr>
            </w:pPr>
            <w:r>
              <w:rPr>
                <w:rFonts w:ascii="Times New Roman" w:hAnsi="Times New Roman"/>
              </w:rPr>
              <w:t>一种应用于沿海地区土地整治的土地修复装置</w:t>
            </w:r>
          </w:p>
        </w:tc>
      </w:tr>
      <w:tr w14:paraId="550C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69C071C5">
            <w:pP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559" w:type="dxa"/>
            <w:tcBorders>
              <w:top w:val="single" w:color="000000" w:sz="4" w:space="0"/>
              <w:left w:val="single" w:color="000000" w:sz="8" w:space="0"/>
              <w:bottom w:val="single" w:color="000000" w:sz="4" w:space="0"/>
              <w:right w:val="single" w:color="000000" w:sz="4" w:space="0"/>
            </w:tcBorders>
            <w:vAlign w:val="center"/>
          </w:tcPr>
          <w:p w14:paraId="5783C891">
            <w:pPr>
              <w:jc w:val="center"/>
              <w:rPr>
                <w:rFonts w:ascii="Times New Roman" w:hAnsi="Times New Roman" w:eastAsia="仿宋_GB2312" w:cs="Times New Roman"/>
                <w:kern w:val="0"/>
                <w:szCs w:val="21"/>
              </w:rPr>
            </w:pPr>
            <w:r>
              <w:rPr>
                <w:rFonts w:ascii="Times New Roman" w:hAnsi="Times New Roman"/>
              </w:rPr>
              <w:t>发明专利</w:t>
            </w:r>
          </w:p>
        </w:tc>
        <w:tc>
          <w:tcPr>
            <w:tcW w:w="5891" w:type="dxa"/>
            <w:tcBorders>
              <w:top w:val="single" w:color="000000" w:sz="4" w:space="0"/>
              <w:left w:val="single" w:color="000000" w:sz="4" w:space="0"/>
              <w:bottom w:val="single" w:color="000000" w:sz="4" w:space="0"/>
              <w:right w:val="single" w:color="000000" w:sz="4" w:space="0"/>
            </w:tcBorders>
            <w:vAlign w:val="center"/>
          </w:tcPr>
          <w:p w14:paraId="75B25251">
            <w:pPr>
              <w:jc w:val="center"/>
              <w:rPr>
                <w:rFonts w:ascii="Times New Roman" w:hAnsi="Times New Roman" w:eastAsia="仿宋_GB2312" w:cs="Times New Roman"/>
                <w:kern w:val="0"/>
                <w:szCs w:val="21"/>
              </w:rPr>
            </w:pPr>
            <w:r>
              <w:rPr>
                <w:rFonts w:ascii="Times New Roman" w:hAnsi="Times New Roman"/>
              </w:rPr>
              <w:t>湿地碳通量测量装置</w:t>
            </w:r>
          </w:p>
        </w:tc>
      </w:tr>
      <w:tr w14:paraId="16CC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30682934">
            <w:pP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559" w:type="dxa"/>
            <w:tcBorders>
              <w:top w:val="single" w:color="auto" w:sz="4" w:space="0"/>
              <w:left w:val="single" w:color="auto" w:sz="8" w:space="0"/>
              <w:bottom w:val="single" w:color="auto" w:sz="4" w:space="0"/>
              <w:right w:val="single" w:color="auto" w:sz="4" w:space="0"/>
            </w:tcBorders>
            <w:vAlign w:val="center"/>
          </w:tcPr>
          <w:p w14:paraId="69F9E2C5">
            <w:pPr>
              <w:jc w:val="center"/>
              <w:rPr>
                <w:rFonts w:ascii="Times New Roman" w:hAnsi="Times New Roman" w:eastAsia="仿宋_GB2312" w:cs="Times New Roman"/>
                <w:kern w:val="0"/>
                <w:szCs w:val="21"/>
              </w:rPr>
            </w:pPr>
            <w:r>
              <w:rPr>
                <w:rFonts w:ascii="Times New Roman" w:hAnsi="Times New Roman"/>
              </w:rPr>
              <w:t>发明专利</w:t>
            </w:r>
          </w:p>
        </w:tc>
        <w:tc>
          <w:tcPr>
            <w:tcW w:w="5891" w:type="dxa"/>
            <w:tcBorders>
              <w:top w:val="single" w:color="auto" w:sz="4" w:space="0"/>
              <w:left w:val="single" w:color="auto" w:sz="4" w:space="0"/>
              <w:bottom w:val="single" w:color="auto" w:sz="4" w:space="0"/>
              <w:right w:val="single" w:color="auto" w:sz="4" w:space="0"/>
            </w:tcBorders>
            <w:vAlign w:val="center"/>
          </w:tcPr>
          <w:p w14:paraId="327D950E">
            <w:pPr>
              <w:jc w:val="center"/>
              <w:rPr>
                <w:rFonts w:ascii="Times New Roman" w:hAnsi="Times New Roman" w:eastAsia="仿宋_GB2312" w:cs="Times New Roman"/>
                <w:kern w:val="0"/>
                <w:szCs w:val="21"/>
              </w:rPr>
            </w:pPr>
            <w:r>
              <w:rPr>
                <w:rFonts w:ascii="Times New Roman" w:hAnsi="Times New Roman"/>
                <w:color w:val="000000"/>
              </w:rPr>
              <w:t>基于遥感图像深度学习的自然资源多场景隐患识别系统</w:t>
            </w:r>
          </w:p>
        </w:tc>
      </w:tr>
      <w:tr w14:paraId="41D3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6D0DD7A7">
            <w:pPr>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w:t>
            </w:r>
          </w:p>
        </w:tc>
        <w:tc>
          <w:tcPr>
            <w:tcW w:w="1559" w:type="dxa"/>
            <w:tcBorders>
              <w:top w:val="single" w:color="auto" w:sz="4" w:space="0"/>
              <w:left w:val="single" w:color="auto" w:sz="8" w:space="0"/>
              <w:bottom w:val="single" w:color="auto" w:sz="4" w:space="0"/>
              <w:right w:val="single" w:color="auto" w:sz="4" w:space="0"/>
            </w:tcBorders>
            <w:vAlign w:val="center"/>
          </w:tcPr>
          <w:p w14:paraId="471720E5">
            <w:pPr>
              <w:jc w:val="center"/>
              <w:rPr>
                <w:rFonts w:ascii="Times New Roman" w:hAnsi="Times New Roman" w:eastAsia="仿宋_GB2312" w:cs="Times New Roman"/>
                <w:kern w:val="0"/>
                <w:szCs w:val="21"/>
              </w:rPr>
            </w:pPr>
            <w:r>
              <w:rPr>
                <w:rFonts w:ascii="Times New Roman" w:hAnsi="Times New Roman"/>
              </w:rPr>
              <w:t>发明专利</w:t>
            </w:r>
          </w:p>
        </w:tc>
        <w:tc>
          <w:tcPr>
            <w:tcW w:w="5891" w:type="dxa"/>
            <w:tcBorders>
              <w:top w:val="single" w:color="auto" w:sz="4" w:space="0"/>
              <w:left w:val="single" w:color="auto" w:sz="4" w:space="0"/>
              <w:bottom w:val="single" w:color="auto" w:sz="4" w:space="0"/>
              <w:right w:val="single" w:color="auto" w:sz="4" w:space="0"/>
            </w:tcBorders>
            <w:vAlign w:val="center"/>
          </w:tcPr>
          <w:p w14:paraId="5D55DB83">
            <w:pPr>
              <w:jc w:val="center"/>
              <w:rPr>
                <w:rFonts w:ascii="Times New Roman" w:hAnsi="Times New Roman" w:eastAsia="仿宋_GB2312" w:cs="Times New Roman"/>
                <w:kern w:val="0"/>
                <w:szCs w:val="21"/>
              </w:rPr>
            </w:pPr>
            <w:r>
              <w:rPr>
                <w:rFonts w:ascii="Times New Roman" w:hAnsi="Times New Roman"/>
                <w:color w:val="000000"/>
              </w:rPr>
              <w:t>基于土壤环境感知的耕地占补平衡定量分析方法</w:t>
            </w:r>
          </w:p>
        </w:tc>
      </w:tr>
      <w:tr w14:paraId="5A0E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6A21A7B0">
            <w:pPr>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w:t>
            </w:r>
          </w:p>
        </w:tc>
        <w:tc>
          <w:tcPr>
            <w:tcW w:w="1559" w:type="dxa"/>
            <w:tcBorders>
              <w:top w:val="single" w:color="auto" w:sz="4" w:space="0"/>
              <w:left w:val="single" w:color="auto" w:sz="8" w:space="0"/>
              <w:bottom w:val="single" w:color="auto" w:sz="4" w:space="0"/>
              <w:right w:val="single" w:color="auto" w:sz="4" w:space="0"/>
            </w:tcBorders>
            <w:vAlign w:val="center"/>
          </w:tcPr>
          <w:p w14:paraId="282B07B2">
            <w:pPr>
              <w:jc w:val="center"/>
              <w:rPr>
                <w:rFonts w:ascii="Times New Roman" w:hAnsi="Times New Roman" w:eastAsia="仿宋_GB2312" w:cs="Times New Roman"/>
                <w:kern w:val="0"/>
                <w:szCs w:val="21"/>
              </w:rPr>
            </w:pPr>
            <w:r>
              <w:rPr>
                <w:rFonts w:ascii="Times New Roman" w:hAnsi="Times New Roman"/>
              </w:rPr>
              <w:t>发明专利</w:t>
            </w:r>
          </w:p>
        </w:tc>
        <w:tc>
          <w:tcPr>
            <w:tcW w:w="5891" w:type="dxa"/>
            <w:tcBorders>
              <w:top w:val="single" w:color="auto" w:sz="4" w:space="0"/>
              <w:left w:val="single" w:color="auto" w:sz="4" w:space="0"/>
              <w:bottom w:val="single" w:color="auto" w:sz="4" w:space="0"/>
              <w:right w:val="single" w:color="auto" w:sz="4" w:space="0"/>
            </w:tcBorders>
            <w:vAlign w:val="center"/>
          </w:tcPr>
          <w:p w14:paraId="15D2FBB4">
            <w:pPr>
              <w:jc w:val="center"/>
              <w:rPr>
                <w:rFonts w:ascii="Times New Roman" w:hAnsi="Times New Roman" w:eastAsia="仿宋_GB2312" w:cs="Times New Roman"/>
                <w:kern w:val="0"/>
                <w:szCs w:val="21"/>
              </w:rPr>
            </w:pPr>
            <w:r>
              <w:rPr>
                <w:rFonts w:ascii="Times New Roman" w:hAnsi="Times New Roman"/>
                <w:color w:val="000000"/>
              </w:rPr>
              <w:t>一种多功能地理测绘设备及测绘方法</w:t>
            </w:r>
          </w:p>
        </w:tc>
      </w:tr>
      <w:tr w14:paraId="1482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3CE51B49">
            <w:pPr>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w:t>
            </w:r>
          </w:p>
        </w:tc>
        <w:tc>
          <w:tcPr>
            <w:tcW w:w="1559" w:type="dxa"/>
            <w:tcBorders>
              <w:top w:val="single" w:color="auto" w:sz="4" w:space="0"/>
              <w:left w:val="single" w:color="auto" w:sz="8" w:space="0"/>
              <w:bottom w:val="single" w:color="auto" w:sz="4" w:space="0"/>
              <w:right w:val="single" w:color="auto" w:sz="4" w:space="0"/>
            </w:tcBorders>
            <w:vAlign w:val="center"/>
          </w:tcPr>
          <w:p w14:paraId="3C549191">
            <w:pPr>
              <w:jc w:val="center"/>
              <w:rPr>
                <w:rFonts w:ascii="Times New Roman" w:hAnsi="Times New Roman" w:eastAsia="仿宋_GB2312" w:cs="Times New Roman"/>
                <w:kern w:val="0"/>
                <w:szCs w:val="21"/>
              </w:rPr>
            </w:pPr>
            <w:r>
              <w:rPr>
                <w:rFonts w:ascii="Times New Roman" w:hAnsi="Times New Roman"/>
              </w:rPr>
              <w:t>实用新型专利</w:t>
            </w:r>
          </w:p>
        </w:tc>
        <w:tc>
          <w:tcPr>
            <w:tcW w:w="5891" w:type="dxa"/>
            <w:tcBorders>
              <w:top w:val="single" w:color="auto" w:sz="4" w:space="0"/>
              <w:left w:val="single" w:color="auto" w:sz="4" w:space="0"/>
              <w:bottom w:val="single" w:color="auto" w:sz="4" w:space="0"/>
              <w:right w:val="single" w:color="auto" w:sz="4" w:space="0"/>
            </w:tcBorders>
            <w:vAlign w:val="center"/>
          </w:tcPr>
          <w:p w14:paraId="13613D8C">
            <w:pPr>
              <w:jc w:val="center"/>
              <w:rPr>
                <w:rFonts w:ascii="Times New Roman" w:hAnsi="Times New Roman" w:eastAsia="仿宋_GB2312" w:cs="Times New Roman"/>
                <w:kern w:val="0"/>
                <w:szCs w:val="21"/>
              </w:rPr>
            </w:pPr>
            <w:r>
              <w:rPr>
                <w:rFonts w:ascii="Times New Roman" w:hAnsi="Times New Roman"/>
                <w:color w:val="000000"/>
              </w:rPr>
              <w:t>一种河道生态保护修复设备</w:t>
            </w:r>
          </w:p>
        </w:tc>
      </w:tr>
      <w:tr w14:paraId="4CDA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0E4427E6">
            <w:pPr>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w:t>
            </w:r>
          </w:p>
        </w:tc>
        <w:tc>
          <w:tcPr>
            <w:tcW w:w="1559" w:type="dxa"/>
            <w:tcBorders>
              <w:top w:val="single" w:color="000000" w:sz="4" w:space="0"/>
              <w:left w:val="single" w:color="000000" w:sz="8" w:space="0"/>
              <w:bottom w:val="single" w:color="000000" w:sz="4" w:space="0"/>
              <w:right w:val="single" w:color="000000" w:sz="4" w:space="0"/>
            </w:tcBorders>
            <w:vAlign w:val="center"/>
          </w:tcPr>
          <w:p w14:paraId="67BB58E0">
            <w:pPr>
              <w:jc w:val="center"/>
              <w:rPr>
                <w:rFonts w:ascii="Times New Roman" w:hAnsi="Times New Roman" w:eastAsia="仿宋_GB2312" w:cs="Times New Roman"/>
                <w:kern w:val="0"/>
                <w:szCs w:val="21"/>
              </w:rPr>
            </w:pPr>
            <w:r>
              <w:rPr>
                <w:rFonts w:ascii="Times New Roman" w:hAnsi="Times New Roman"/>
              </w:rPr>
              <w:t>实用新型专利</w:t>
            </w:r>
          </w:p>
        </w:tc>
        <w:tc>
          <w:tcPr>
            <w:tcW w:w="5891" w:type="dxa"/>
            <w:tcBorders>
              <w:top w:val="single" w:color="000000" w:sz="4" w:space="0"/>
              <w:left w:val="single" w:color="000000" w:sz="4" w:space="0"/>
              <w:bottom w:val="single" w:color="000000" w:sz="4" w:space="0"/>
              <w:right w:val="single" w:color="000000" w:sz="4" w:space="0"/>
            </w:tcBorders>
            <w:vAlign w:val="center"/>
          </w:tcPr>
          <w:p w14:paraId="194D7DAB">
            <w:pPr>
              <w:jc w:val="center"/>
              <w:rPr>
                <w:rFonts w:ascii="Times New Roman" w:hAnsi="Times New Roman" w:eastAsia="仿宋_GB2312" w:cs="Times New Roman"/>
                <w:kern w:val="0"/>
                <w:szCs w:val="21"/>
              </w:rPr>
            </w:pPr>
            <w:r>
              <w:rPr>
                <w:rFonts w:ascii="Times New Roman" w:hAnsi="Times New Roman"/>
              </w:rPr>
              <w:t>一种耕作层土壤剥离机</w:t>
            </w:r>
          </w:p>
        </w:tc>
      </w:tr>
      <w:tr w14:paraId="6414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281872E">
            <w:pPr>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w:t>
            </w:r>
          </w:p>
        </w:tc>
        <w:tc>
          <w:tcPr>
            <w:tcW w:w="1559" w:type="dxa"/>
            <w:tcBorders>
              <w:top w:val="single" w:color="000000" w:sz="4" w:space="0"/>
              <w:left w:val="single" w:color="000000" w:sz="8" w:space="0"/>
              <w:bottom w:val="single" w:color="000000" w:sz="4" w:space="0"/>
              <w:right w:val="single" w:color="000000" w:sz="4" w:space="0"/>
            </w:tcBorders>
            <w:vAlign w:val="center"/>
          </w:tcPr>
          <w:p w14:paraId="6E2BE7BE">
            <w:pPr>
              <w:jc w:val="center"/>
              <w:rPr>
                <w:rFonts w:ascii="Times New Roman" w:hAnsi="Times New Roman" w:eastAsia="仿宋_GB2312" w:cs="Times New Roman"/>
                <w:kern w:val="0"/>
                <w:szCs w:val="21"/>
              </w:rPr>
            </w:pPr>
            <w:r>
              <w:rPr>
                <w:rFonts w:ascii="Times New Roman" w:hAnsi="Times New Roman"/>
              </w:rPr>
              <w:t>软著</w:t>
            </w:r>
          </w:p>
        </w:tc>
        <w:tc>
          <w:tcPr>
            <w:tcW w:w="5891" w:type="dxa"/>
            <w:tcBorders>
              <w:top w:val="single" w:color="000000" w:sz="4" w:space="0"/>
              <w:left w:val="single" w:color="000000" w:sz="4" w:space="0"/>
              <w:bottom w:val="single" w:color="000000" w:sz="4" w:space="0"/>
              <w:right w:val="single" w:color="000000" w:sz="4" w:space="0"/>
            </w:tcBorders>
            <w:vAlign w:val="center"/>
          </w:tcPr>
          <w:p w14:paraId="256663EE">
            <w:pPr>
              <w:jc w:val="center"/>
              <w:rPr>
                <w:rFonts w:ascii="Times New Roman" w:hAnsi="Times New Roman" w:eastAsia="仿宋_GB2312" w:cs="Times New Roman"/>
                <w:kern w:val="0"/>
                <w:szCs w:val="21"/>
              </w:rPr>
            </w:pPr>
            <w:r>
              <w:rPr>
                <w:rFonts w:ascii="Times New Roman" w:hAnsi="Times New Roman"/>
              </w:rPr>
              <w:t>巢湖流域生态化综合开发的土地利用规划方案决策支持系统</w:t>
            </w:r>
          </w:p>
        </w:tc>
      </w:tr>
      <w:tr w14:paraId="6945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5A4454C4">
            <w:pPr>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w:t>
            </w:r>
          </w:p>
        </w:tc>
        <w:tc>
          <w:tcPr>
            <w:tcW w:w="1559" w:type="dxa"/>
            <w:tcBorders>
              <w:top w:val="single" w:color="000000" w:sz="4" w:space="0"/>
              <w:left w:val="single" w:color="000000" w:sz="8" w:space="0"/>
              <w:bottom w:val="single" w:color="000000" w:sz="4" w:space="0"/>
              <w:right w:val="single" w:color="000000" w:sz="4" w:space="0"/>
            </w:tcBorders>
            <w:vAlign w:val="center"/>
          </w:tcPr>
          <w:p w14:paraId="0A74C909">
            <w:pPr>
              <w:jc w:val="center"/>
              <w:rPr>
                <w:rFonts w:ascii="Times New Roman" w:hAnsi="Times New Roman" w:eastAsia="仿宋_GB2312" w:cs="Times New Roman"/>
                <w:kern w:val="0"/>
                <w:szCs w:val="21"/>
              </w:rPr>
            </w:pPr>
            <w:r>
              <w:rPr>
                <w:rFonts w:ascii="Times New Roman" w:hAnsi="Times New Roman"/>
              </w:rPr>
              <w:t>软著</w:t>
            </w:r>
          </w:p>
        </w:tc>
        <w:tc>
          <w:tcPr>
            <w:tcW w:w="5891" w:type="dxa"/>
            <w:tcBorders>
              <w:top w:val="single" w:color="000000" w:sz="4" w:space="0"/>
              <w:left w:val="single" w:color="000000" w:sz="4" w:space="0"/>
              <w:bottom w:val="single" w:color="000000" w:sz="4" w:space="0"/>
              <w:right w:val="single" w:color="000000" w:sz="4" w:space="0"/>
            </w:tcBorders>
            <w:vAlign w:val="center"/>
          </w:tcPr>
          <w:p w14:paraId="3D510BFA">
            <w:pPr>
              <w:jc w:val="center"/>
              <w:rPr>
                <w:rFonts w:ascii="Times New Roman" w:hAnsi="Times New Roman" w:eastAsia="仿宋_GB2312" w:cs="Times New Roman"/>
                <w:kern w:val="0"/>
                <w:szCs w:val="21"/>
              </w:rPr>
            </w:pPr>
            <w:r>
              <w:rPr>
                <w:rFonts w:ascii="Times New Roman" w:hAnsi="Times New Roman"/>
              </w:rPr>
              <w:t>土地利用格局优化管理信息系统</w:t>
            </w:r>
          </w:p>
        </w:tc>
      </w:tr>
    </w:tbl>
    <w:p w14:paraId="617F74A3">
      <w:pPr>
        <w:spacing w:line="360" w:lineRule="auto"/>
        <w:ind w:firstLine="480" w:firstLineChars="200"/>
        <w:rPr>
          <w:rFonts w:ascii="Times New Roman" w:hAnsi="Times New Roman" w:eastAsia="仿宋_GB2312" w:cs="Times New Roman"/>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jI2N7E0MTU1NzY1MDNS0lEKTi0uzszPAykwrAUASRMt/CwAAAA="/>
  </w:docVars>
  <w:rsids>
    <w:rsidRoot w:val="00A936AD"/>
    <w:rsid w:val="00011EBF"/>
    <w:rsid w:val="00036298"/>
    <w:rsid w:val="00063534"/>
    <w:rsid w:val="00081250"/>
    <w:rsid w:val="000D7C7B"/>
    <w:rsid w:val="000F5BDC"/>
    <w:rsid w:val="00101FD9"/>
    <w:rsid w:val="001D578F"/>
    <w:rsid w:val="001E3DB9"/>
    <w:rsid w:val="001F7DED"/>
    <w:rsid w:val="00222DC3"/>
    <w:rsid w:val="002A1DAD"/>
    <w:rsid w:val="002A7099"/>
    <w:rsid w:val="002C76AA"/>
    <w:rsid w:val="002E1ED9"/>
    <w:rsid w:val="00305B46"/>
    <w:rsid w:val="00326322"/>
    <w:rsid w:val="0036287C"/>
    <w:rsid w:val="003D6208"/>
    <w:rsid w:val="003E6199"/>
    <w:rsid w:val="0043713A"/>
    <w:rsid w:val="00493583"/>
    <w:rsid w:val="004D7C6C"/>
    <w:rsid w:val="004F7B67"/>
    <w:rsid w:val="00522FD0"/>
    <w:rsid w:val="00531099"/>
    <w:rsid w:val="005513A6"/>
    <w:rsid w:val="00592D71"/>
    <w:rsid w:val="00625C9D"/>
    <w:rsid w:val="006264AA"/>
    <w:rsid w:val="006666BF"/>
    <w:rsid w:val="00703BAD"/>
    <w:rsid w:val="007C0185"/>
    <w:rsid w:val="0081544C"/>
    <w:rsid w:val="0081729D"/>
    <w:rsid w:val="0089372A"/>
    <w:rsid w:val="008E53A9"/>
    <w:rsid w:val="00926627"/>
    <w:rsid w:val="00931D48"/>
    <w:rsid w:val="0093421F"/>
    <w:rsid w:val="00962FB3"/>
    <w:rsid w:val="00967F42"/>
    <w:rsid w:val="00992478"/>
    <w:rsid w:val="009A2D4E"/>
    <w:rsid w:val="009F2869"/>
    <w:rsid w:val="00A03AEF"/>
    <w:rsid w:val="00A1668F"/>
    <w:rsid w:val="00A44F4B"/>
    <w:rsid w:val="00A84824"/>
    <w:rsid w:val="00A936AD"/>
    <w:rsid w:val="00AD39BC"/>
    <w:rsid w:val="00B27607"/>
    <w:rsid w:val="00B76324"/>
    <w:rsid w:val="00B93F3C"/>
    <w:rsid w:val="00BD39AE"/>
    <w:rsid w:val="00BF3957"/>
    <w:rsid w:val="00C678ED"/>
    <w:rsid w:val="00C77F7E"/>
    <w:rsid w:val="00CA4962"/>
    <w:rsid w:val="00CB43B9"/>
    <w:rsid w:val="00CE2EFF"/>
    <w:rsid w:val="00D56114"/>
    <w:rsid w:val="00D62011"/>
    <w:rsid w:val="00D70BB1"/>
    <w:rsid w:val="00D71CF8"/>
    <w:rsid w:val="00DB31AD"/>
    <w:rsid w:val="00DE20F6"/>
    <w:rsid w:val="00DE47A0"/>
    <w:rsid w:val="00DE6AF1"/>
    <w:rsid w:val="00E40BCD"/>
    <w:rsid w:val="00E60746"/>
    <w:rsid w:val="00E92554"/>
    <w:rsid w:val="00E9763B"/>
    <w:rsid w:val="00EB6188"/>
    <w:rsid w:val="00F32DD8"/>
    <w:rsid w:val="00F46CFE"/>
    <w:rsid w:val="00FA3F92"/>
    <w:rsid w:val="00FC3515"/>
    <w:rsid w:val="4EB67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1994</Words>
  <Characters>2079</Characters>
  <Lines>15</Lines>
  <Paragraphs>4</Paragraphs>
  <TotalTime>35</TotalTime>
  <ScaleCrop>false</ScaleCrop>
  <LinksUpToDate>false</LinksUpToDate>
  <CharactersWithSpaces>2086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2026-09-11T02:52:00Z</dcterms:created>
  <dc:creator>凡凡 巨</dc:creator>
  <cp:lastModifiedBy>脑阔疼</cp:lastModifiedBy>
  <dcterms:modified xsi:type="dcterms:W3CDTF">2026-09-11T06:45:55Z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eyJoZGlkIjoiMjc2MWZjN2FiOTM2YTJhNTZjYmE0NmE1MDdkNGJjNjAiLCJ1c2VySWQiOiIxMjEwMDMzODkwIn0=</vt:lpwstr>
  </property>
  <property fmtid="{D5CDD505-2E9C-101B-9397-08002B2CF9AE}" pid="3" name="KSOProductBuildVer">
    <vt:lpwstr>2052-12.1.0.28505</vt:lpwstr>
  </property>
  <property fmtid="{D5CDD505-2E9C-101B-9397-08002B2CF9AE}" pid="4" name="ICV">
    <vt:lpwstr>E867D428D47D429CAA601DE38C8DD139_12</vt:lpwstr>
  </property>
</Properties>
</file>