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1A38B">
      <w:pPr>
        <w:jc w:val="center"/>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党务工作实务与卓越领导力</w:t>
      </w:r>
    </w:p>
    <w:p w14:paraId="04E0CBA0">
      <w:pPr>
        <w:jc w:val="center"/>
        <w:rPr>
          <w:rFonts w:hint="eastAsia" w:ascii="仿宋" w:hAnsi="仿宋" w:eastAsia="仿宋" w:cs="仿宋"/>
          <w:sz w:val="28"/>
          <w:szCs w:val="28"/>
        </w:rPr>
      </w:pPr>
      <w:r>
        <w:rPr>
          <w:rFonts w:hint="eastAsia" w:ascii="黑体" w:hAnsi="黑体" w:eastAsia="黑体" w:cs="黑体"/>
          <w:b/>
          <w:bCs/>
          <w:sz w:val="36"/>
          <w:szCs w:val="36"/>
        </w:rPr>
        <w:t>微专业招生简章</w:t>
      </w:r>
    </w:p>
    <w:p w14:paraId="3EF06482">
      <w:pPr>
        <w:spacing w:line="500" w:lineRule="exact"/>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一、微专业介绍</w:t>
      </w:r>
    </w:p>
    <w:p w14:paraId="274CAF96">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本微专业聚焦新时代党务工作的新形势、新任务、新要求，深度融合党务专业知识与领导力科学理论。通过模块化、系统化的课程学习和实践训练，使学生掌握扎实的党务工作基本理论、方法和技能，提升战略思维、决策能力、团队领导、沟通协调及创新应变等核心领导素养，培养既懂党务又善管理的复合型人才，服务于党和国家事业发展大局</w:t>
      </w:r>
      <w:r>
        <w:rPr>
          <w:rFonts w:hint="eastAsia" w:ascii="仿宋" w:hAnsi="仿宋" w:eastAsia="仿宋" w:cs="仿宋"/>
          <w:b/>
          <w:bCs/>
          <w:sz w:val="28"/>
          <w:szCs w:val="28"/>
        </w:rPr>
        <w:t>。</w:t>
      </w:r>
    </w:p>
    <w:p w14:paraId="43F8D799">
      <w:pPr>
        <w:spacing w:line="500" w:lineRule="exact"/>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二、培养目标</w:t>
      </w:r>
    </w:p>
    <w:p w14:paraId="3C73D4B6">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（一）培养方向</w:t>
      </w:r>
    </w:p>
    <w:p w14:paraId="42B41293">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1.党务工作专才方向：</w:t>
      </w:r>
      <w:r>
        <w:rPr>
          <w:rFonts w:hint="eastAsia" w:ascii="仿宋" w:hAnsi="仿宋" w:eastAsia="仿宋" w:cs="仿宋"/>
          <w:sz w:val="28"/>
          <w:szCs w:val="28"/>
        </w:rPr>
        <w:t>培养系统掌握党的历史、理论、方针、政策，熟悉党组织建设、党员发展教育管理、思想政治工作、党风廉政建设等党务业务，能够胜任各级各类党组织党务工作的专门人才。</w:t>
      </w:r>
    </w:p>
    <w:p w14:paraId="11395DAF">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2.卓越领导力提升方向：</w:t>
      </w:r>
      <w:r>
        <w:rPr>
          <w:rFonts w:hint="eastAsia" w:ascii="仿宋" w:hAnsi="仿宋" w:eastAsia="仿宋" w:cs="仿宋"/>
          <w:sz w:val="28"/>
          <w:szCs w:val="28"/>
        </w:rPr>
        <w:t>培养具备战略远见、创新精神、团队协作能力和高效执行力的未来领导者，使其在党务工作及其他管理岗位上能够有效引领组织发展，应对复杂挑战。</w:t>
      </w:r>
    </w:p>
    <w:p w14:paraId="60CBB29A">
      <w:pPr>
        <w:spacing w:line="500" w:lineRule="exact"/>
        <w:rPr>
          <w:rFonts w:hint="eastAsia" w:ascii="仿宋" w:hAnsi="仿宋" w:eastAsia="仿宋" w:cs="仿宋"/>
          <w:sz w:val="28"/>
          <w:szCs w:val="28"/>
        </w:rPr>
      </w:pPr>
      <w:r>
        <w:rPr>
          <w:rFonts w:hint="eastAsia" w:ascii="仿宋" w:hAnsi="仿宋" w:eastAsia="仿宋" w:cs="仿宋"/>
          <w:b/>
          <w:bCs/>
          <w:sz w:val="28"/>
          <w:szCs w:val="28"/>
        </w:rPr>
        <w:t>（二）培养模式</w:t>
      </w:r>
    </w:p>
    <w:p w14:paraId="018FA859">
      <w:pPr>
        <w:spacing w:line="50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1.特色课程设计</w:t>
      </w:r>
    </w:p>
    <w:p w14:paraId="7F3A0F1B">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（1）模块化课程结构：</w:t>
      </w:r>
      <w:r>
        <w:rPr>
          <w:rFonts w:hint="eastAsia" w:ascii="仿宋" w:hAnsi="仿宋" w:eastAsia="仿宋" w:cs="仿宋"/>
          <w:sz w:val="28"/>
          <w:szCs w:val="28"/>
        </w:rPr>
        <w:t>本微专业课程体系设置为“党务理论基石”、“领导力核心技能”、“实践能力提升”三大模块，兼顾理论深度与实践应用。</w:t>
      </w:r>
    </w:p>
    <w:p w14:paraId="71628886">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（2）党务理论课程：</w:t>
      </w:r>
      <w:r>
        <w:rPr>
          <w:rFonts w:hint="eastAsia" w:ascii="仿宋" w:hAnsi="仿宋" w:eastAsia="仿宋" w:cs="仿宋"/>
          <w:sz w:val="28"/>
          <w:szCs w:val="28"/>
        </w:rPr>
        <w:t>《党务管理学》、《党务工作实务》。</w:t>
      </w:r>
    </w:p>
    <w:p w14:paraId="6C1C82E0">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（3）卓越领导力：</w:t>
      </w:r>
      <w:r>
        <w:rPr>
          <w:rFonts w:hint="eastAsia" w:ascii="仿宋" w:hAnsi="仿宋" w:eastAsia="仿宋" w:cs="仿宋"/>
          <w:sz w:val="28"/>
          <w:szCs w:val="28"/>
        </w:rPr>
        <w:t>《卓越领导力与团队管理》、《领导科学与艺术》、《数字时代党建创新与智慧党务应用》。</w:t>
      </w:r>
    </w:p>
    <w:p w14:paraId="1CD5B181">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2.实践与创新</w:t>
      </w:r>
    </w:p>
    <w:p w14:paraId="4D076B84">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（1）项目驱动：</w:t>
      </w:r>
      <w:r>
        <w:rPr>
          <w:rFonts w:hint="eastAsia" w:ascii="仿宋" w:hAnsi="仿宋" w:eastAsia="仿宋" w:cs="仿宋"/>
          <w:sz w:val="28"/>
          <w:szCs w:val="28"/>
        </w:rPr>
        <w:t>围绕“党支部标准化建设”、“主题党日活动策划与实施”、“党员先锋模范作用发挥机制研究”等真实党务场景，组织学生开展小组项目实践，模拟解决实际问题。</w:t>
      </w:r>
    </w:p>
    <w:p w14:paraId="7756D2D3">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（2）党务实训：</w:t>
      </w:r>
      <w:r>
        <w:rPr>
          <w:rFonts w:hint="eastAsia" w:ascii="仿宋" w:hAnsi="仿宋" w:eastAsia="仿宋" w:cs="仿宋"/>
          <w:sz w:val="28"/>
          <w:szCs w:val="28"/>
        </w:rPr>
        <w:t>与相关机关、企事业单位合作，提供党务工作实习实践机会与岗位，零距离接触党务工作，为未来职场做好准备。</w:t>
      </w:r>
    </w:p>
    <w:p w14:paraId="1AEB38D2">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（3）创新创业支持：</w:t>
      </w:r>
      <w:r>
        <w:rPr>
          <w:rFonts w:hint="eastAsia" w:ascii="仿宋" w:hAnsi="仿宋" w:eastAsia="仿宋" w:cs="仿宋"/>
          <w:sz w:val="28"/>
          <w:szCs w:val="28"/>
        </w:rPr>
        <w:t>鼓励学生结合专业所学，申报党建相关的大学生创新创业训练计划项目，支持其将党务工作创新想法转化为实践成果。</w:t>
      </w:r>
    </w:p>
    <w:p w14:paraId="4CEF9A51">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3.综合素质培养</w:t>
      </w:r>
    </w:p>
    <w:p w14:paraId="1F0000F3">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通过专题讲座、案例研讨、角色扮演、模拟演练、红色教育基地实地教学等多种形式，提升学生的政治素养、文字综合能力、组织协调能力、沟通表达能力和应急处突能力。</w:t>
      </w:r>
    </w:p>
    <w:p w14:paraId="5E3136DA">
      <w:pPr>
        <w:spacing w:line="500" w:lineRule="exact"/>
        <w:rPr>
          <w:rFonts w:hint="eastAsia" w:ascii="仿宋" w:hAnsi="仿宋" w:eastAsia="仿宋" w:cs="仿宋"/>
          <w:sz w:val="28"/>
          <w:szCs w:val="28"/>
        </w:rPr>
      </w:pPr>
      <w:r>
        <w:rPr>
          <w:rFonts w:hint="eastAsia" w:ascii="仿宋" w:hAnsi="仿宋" w:eastAsia="仿宋" w:cs="仿宋"/>
          <w:b/>
          <w:bCs/>
          <w:sz w:val="28"/>
          <w:szCs w:val="28"/>
        </w:rPr>
        <w:t>（三）培养要求</w:t>
      </w:r>
    </w:p>
    <w:p w14:paraId="21123B77">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1.理论基础</w:t>
      </w:r>
    </w:p>
    <w:p w14:paraId="537FF7C8">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系统掌握马克思主义基本原理、党的建设基本理论、党的历史以及党务工作的基本知识和法规政策，深刻理解马克思主义中国化时代化理论成果，系统掌握党建思想脉络与法规体系，构建扎实的党务工作理论框架。</w:t>
      </w:r>
    </w:p>
    <w:p w14:paraId="6F518C4B">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2.实践能力</w:t>
      </w:r>
    </w:p>
    <w:p w14:paraId="268014E1">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能够独立或协作完成党务工作方案的制定、组织实施与总结评估，具备运用现代信息技术辅助党务工作的初步能力。</w:t>
      </w:r>
    </w:p>
    <w:p w14:paraId="1AADCA7E">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3.市场与政策</w:t>
      </w:r>
    </w:p>
    <w:p w14:paraId="183DF395">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深入了解国家关于党的建设、社会治理、人才培养等方面的宏观政策，具备敏锐的政策洞察力和分析判断能力。</w:t>
      </w:r>
    </w:p>
    <w:p w14:paraId="1BB64A43">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4.社会责任与职业道德</w:t>
      </w:r>
    </w:p>
    <w:p w14:paraId="3B4BA97B">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牢固树立“四个意识”，坚定“四个自信”，做到“两个维护”，具备坚定的政治信仰、高尚的道德情操、强烈的社会责任感和无私奉献精神。</w:t>
      </w:r>
    </w:p>
    <w:p w14:paraId="60B1B5EA">
      <w:pPr>
        <w:spacing w:line="500" w:lineRule="exact"/>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三、专业特色</w:t>
      </w:r>
    </w:p>
    <w:p w14:paraId="1C9CB0DF">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1.前沿课程设置</w:t>
      </w:r>
    </w:p>
    <w:p w14:paraId="423A0CD7">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本专业以马克思主义基本原理为根基，紧跟新时代党的建设最新理论创新与实践要求，系统性地融入智慧党务、党建数字化转型等前沿内容，确保课程体系既能筑牢学生的理论根基，又能敏锐捕捉行业发展的最新动态，始终站在理论和实践的时代前沿。</w:t>
      </w:r>
    </w:p>
    <w:p w14:paraId="480B65ED">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2.实践导向</w:t>
      </w:r>
    </w:p>
    <w:p w14:paraId="78521C6C">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本专业以强化实践能力为核心，将理论学习与党务工作深度融合，通过项目驱动、案例复盘、实地见习等多种沉浸式实践环节，引导学生独立或协作完成从方案策划、组织实施到总结评估的全流程实战，真正实现从知识到能力的转化，锤炼其解决复杂党务工作问题的硬本领。</w:t>
      </w:r>
    </w:p>
    <w:p w14:paraId="01194796">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3.跨学科融合</w:t>
      </w:r>
    </w:p>
    <w:p w14:paraId="41DBEBC8">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本专业突破单一学科壁垒，创新性地整合马克思主义理论、管理学、心理学、信息技术等多元学科资源，旨在培养学生构建兼具理论深度、管理广度、人文温度和科技应用能力的复合型知识结构，使其成为新时代党务工作中既有政治高度又具实践深度的多面手。</w:t>
      </w:r>
    </w:p>
    <w:p w14:paraId="2CF12A88">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4.社会责任与可持续发展</w:t>
      </w:r>
    </w:p>
    <w:p w14:paraId="3AF95E4D">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本专业坚持立德树人，将“四个意识”、“四个自信”、“两个维护”的要求贯穿人才培养全过程，引导学生牢固树立以党建引领社会治理的责任感，将个人职业发展与国家发展、民族复兴的伟大事业紧密结合，致力于培养政治坚定、品德高尚、富有奉献精神且具备可持续发展的党务工作卓越领导者。</w:t>
      </w:r>
    </w:p>
    <w:p w14:paraId="0BA380F9">
      <w:pPr>
        <w:spacing w:line="500" w:lineRule="exact"/>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四、资源保障</w:t>
      </w:r>
    </w:p>
    <w:p w14:paraId="1A97917F">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1.教学团队</w:t>
      </w:r>
    </w:p>
    <w:p w14:paraId="03BCAF0C">
      <w:pPr>
        <w:spacing w:line="50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专业组建专兼结合、双师协同的教学团队。团队以校内理论专家为核心，同时吸纳地方党委党务干部、大型国有企业优秀党务工作者等一线实务专家共同参与课程建设与教学实施。团队成员兼具深厚的马克思主义理论功底与丰富的基层党务实操经验，实现理论教学与党务实践深度耦合，为培养高素质复合型党务人才筑牢师资支撑，保障微专业教学质量与育人实效。</w:t>
      </w:r>
    </w:p>
    <w:p w14:paraId="254C74BD">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2.课程资源</w:t>
      </w:r>
    </w:p>
    <w:p w14:paraId="01273BF9">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学校依托国家精品在线开放课程平台，为</w:t>
      </w:r>
      <w:r>
        <w:rPr>
          <w:rFonts w:hint="eastAsia" w:ascii="仿宋" w:hAnsi="仿宋" w:eastAsia="仿宋" w:cs="仿宋"/>
          <w:sz w:val="28"/>
          <w:szCs w:val="28"/>
          <w:lang w:val="en-US" w:eastAsia="zh-CN"/>
        </w:rPr>
        <w:t>本微专业</w:t>
      </w:r>
      <w:r>
        <w:rPr>
          <w:rFonts w:hint="eastAsia" w:ascii="仿宋" w:hAnsi="仿宋" w:eastAsia="仿宋" w:cs="仿宋"/>
          <w:sz w:val="28"/>
          <w:szCs w:val="28"/>
        </w:rPr>
        <w:t>搭建了集电子教材、前沿参考书目、高质量党务案例库及专家学术讲座视频于一体的数字化学习资源库，学生可随时随地获取学习材料，支持其构建系统化的理论知识和提升政策洞察力，满足个性化学习需求。</w:t>
      </w:r>
    </w:p>
    <w:p w14:paraId="5934739B">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3.学术资源</w:t>
      </w:r>
    </w:p>
    <w:p w14:paraId="4C43EB55">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学生可全面共享学校图书馆的丰富馆藏与数字化学术数据库，并有机会深度参与马克思主义</w:t>
      </w:r>
      <w:r>
        <w:rPr>
          <w:rFonts w:hint="eastAsia" w:ascii="仿宋" w:hAnsi="仿宋" w:eastAsia="仿宋" w:cs="仿宋"/>
          <w:sz w:val="28"/>
          <w:szCs w:val="28"/>
          <w:lang w:val="en-US" w:eastAsia="zh-CN"/>
        </w:rPr>
        <w:t>学院相关学术</w:t>
      </w:r>
      <w:r>
        <w:rPr>
          <w:rFonts w:hint="eastAsia" w:ascii="仿宋" w:hAnsi="仿宋" w:eastAsia="仿宋" w:cs="仿宋"/>
          <w:sz w:val="28"/>
          <w:szCs w:val="28"/>
        </w:rPr>
        <w:t>平台的课题研究与学术研讨活动，拓宽学术视野，为成长为具有战略思维和研究能力的可持续性发展人才奠定基础。</w:t>
      </w:r>
    </w:p>
    <w:p w14:paraId="64A80201">
      <w:pPr>
        <w:spacing w:line="500" w:lineRule="exact"/>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五、招生对象及条件</w:t>
      </w:r>
    </w:p>
    <w:p w14:paraId="1C61D04F">
      <w:pPr>
        <w:spacing w:line="500" w:lineRule="exact"/>
        <w:ind w:firstLine="562" w:firstLineChars="200"/>
        <w:rPr>
          <w:rFonts w:hint="eastAsia" w:ascii="仿宋" w:hAnsi="仿宋" w:eastAsia="仿宋" w:cs="仿宋"/>
          <w:sz w:val="28"/>
          <w:szCs w:val="28"/>
        </w:rPr>
      </w:pPr>
      <w:r>
        <w:rPr>
          <w:rFonts w:hint="eastAsia" w:ascii="仿宋" w:hAnsi="仿宋" w:eastAsia="仿宋" w:cs="仿宋"/>
          <w:b/>
          <w:bCs/>
          <w:sz w:val="28"/>
          <w:szCs w:val="28"/>
        </w:rPr>
        <w:t>1.招生对象：</w:t>
      </w:r>
      <w:r>
        <w:rPr>
          <w:rFonts w:hint="eastAsia" w:ascii="仿宋" w:hAnsi="仿宋" w:eastAsia="仿宋" w:cs="仿宋"/>
          <w:sz w:val="28"/>
          <w:szCs w:val="28"/>
        </w:rPr>
        <w:t>我校全日制本科生（不限专业），对党务工作有浓厚兴趣，有志于提升自身领导力和综合素养，能够保证学习时间和精力。</w:t>
      </w:r>
    </w:p>
    <w:p w14:paraId="6F812869">
      <w:pPr>
        <w:spacing w:line="500" w:lineRule="exact"/>
        <w:ind w:firstLine="562"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sz w:val="28"/>
          <w:szCs w:val="28"/>
        </w:rPr>
        <w:t>2.计划招生人数：</w:t>
      </w:r>
      <w:r>
        <w:rPr>
          <w:rFonts w:hint="eastAsia" w:ascii="仿宋" w:hAnsi="仿宋" w:eastAsia="仿宋" w:cs="仿宋"/>
          <w:color w:val="000000" w:themeColor="text1"/>
          <w:sz w:val="28"/>
          <w:szCs w:val="28"/>
          <w14:textFill>
            <w14:solidFill>
              <w14:schemeClr w14:val="tx1"/>
            </w14:solidFill>
          </w14:textFill>
        </w:rPr>
        <w:t>计划招生50人</w:t>
      </w:r>
    </w:p>
    <w:p w14:paraId="48F82973">
      <w:pPr>
        <w:spacing w:line="500" w:lineRule="exact"/>
        <w:ind w:firstLine="562" w:firstLineChars="200"/>
        <w:rPr>
          <w:rFonts w:hint="eastAsia" w:ascii="仿宋" w:hAnsi="仿宋" w:eastAsia="仿宋" w:cs="仿宋"/>
          <w:color w:val="EE0000"/>
          <w:sz w:val="28"/>
          <w:szCs w:val="28"/>
        </w:rPr>
      </w:pPr>
      <w:r>
        <w:rPr>
          <w:rFonts w:hint="eastAsia" w:ascii="仿宋" w:hAnsi="仿宋" w:eastAsia="仿宋" w:cs="仿宋"/>
          <w:b/>
          <w:bCs/>
          <w:sz w:val="28"/>
          <w:szCs w:val="28"/>
        </w:rPr>
        <w:t>3.学制、学分：</w:t>
      </w:r>
      <w:r>
        <w:rPr>
          <w:rFonts w:hint="eastAsia" w:ascii="仿宋" w:hAnsi="仿宋" w:eastAsia="仿宋" w:cs="仿宋"/>
          <w:sz w:val="28"/>
          <w:szCs w:val="28"/>
        </w:rPr>
        <w:t>学制一年，总学分</w:t>
      </w:r>
      <w:r>
        <w:rPr>
          <w:rFonts w:hint="eastAsia" w:ascii="仿宋" w:hAnsi="仿宋" w:eastAsia="仿宋" w:cs="仿宋"/>
          <w:sz w:val="28"/>
          <w:szCs w:val="28"/>
          <w:lang w:val="en-US" w:eastAsia="zh-CN"/>
        </w:rPr>
        <w:t>8</w:t>
      </w:r>
      <w:r>
        <w:rPr>
          <w:rFonts w:hint="eastAsia" w:ascii="仿宋" w:hAnsi="仿宋" w:eastAsia="仿宋" w:cs="仿宋"/>
          <w:sz w:val="28"/>
          <w:szCs w:val="28"/>
        </w:rPr>
        <w:t>学分</w:t>
      </w:r>
    </w:p>
    <w:p w14:paraId="735AEA6E">
      <w:pPr>
        <w:spacing w:line="500" w:lineRule="exact"/>
        <w:ind w:firstLine="562"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sz w:val="28"/>
          <w:szCs w:val="28"/>
        </w:rPr>
        <w:t>4.收费标准：</w:t>
      </w:r>
      <w:r>
        <w:rPr>
          <w:rFonts w:hint="eastAsia" w:ascii="仿宋" w:hAnsi="仿宋" w:eastAsia="仿宋" w:cs="仿宋"/>
          <w:color w:val="000000" w:themeColor="text1"/>
          <w:sz w:val="28"/>
          <w:szCs w:val="28"/>
          <w:lang w:val="en-US" w:eastAsia="zh-CN"/>
          <w14:textFill>
            <w14:solidFill>
              <w14:schemeClr w14:val="tx1"/>
            </w14:solidFill>
          </w14:textFill>
        </w:rPr>
        <w:t>80</w:t>
      </w:r>
      <w:r>
        <w:rPr>
          <w:rFonts w:hint="eastAsia" w:ascii="仿宋" w:hAnsi="仿宋" w:eastAsia="仿宋" w:cs="仿宋"/>
          <w:color w:val="000000" w:themeColor="text1"/>
          <w:sz w:val="28"/>
          <w:szCs w:val="28"/>
          <w14:textFill>
            <w14:solidFill>
              <w14:schemeClr w14:val="tx1"/>
            </w14:solidFill>
          </w14:textFill>
        </w:rPr>
        <w:t>元/分，合计</w:t>
      </w:r>
      <w:r>
        <w:rPr>
          <w:rFonts w:hint="eastAsia" w:ascii="仿宋" w:hAnsi="仿宋" w:eastAsia="仿宋" w:cs="仿宋"/>
          <w:color w:val="000000" w:themeColor="text1"/>
          <w:sz w:val="28"/>
          <w:szCs w:val="28"/>
          <w:lang w:val="en-US" w:eastAsia="zh-CN"/>
          <w14:textFill>
            <w14:solidFill>
              <w14:schemeClr w14:val="tx1"/>
            </w14:solidFill>
          </w14:textFill>
        </w:rPr>
        <w:t>640</w:t>
      </w:r>
      <w:r>
        <w:rPr>
          <w:rFonts w:hint="eastAsia" w:ascii="仿宋" w:hAnsi="仿宋" w:eastAsia="仿宋" w:cs="仿宋"/>
          <w:color w:val="000000" w:themeColor="text1"/>
          <w:sz w:val="28"/>
          <w:szCs w:val="28"/>
          <w14:textFill>
            <w14:solidFill>
              <w14:schemeClr w14:val="tx1"/>
            </w14:solidFill>
          </w14:textFill>
        </w:rPr>
        <w:t>元</w:t>
      </w:r>
    </w:p>
    <w:p w14:paraId="01E06D02">
      <w:pPr>
        <w:spacing w:line="500" w:lineRule="exact"/>
        <w:ind w:firstLine="562"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sz w:val="28"/>
          <w:szCs w:val="28"/>
        </w:rPr>
        <w:t>5.授课方式：</w:t>
      </w:r>
      <w:r>
        <w:rPr>
          <w:rFonts w:hint="eastAsia" w:ascii="仿宋" w:hAnsi="仿宋" w:eastAsia="仿宋" w:cs="仿宋"/>
          <w:color w:val="000000" w:themeColor="text1"/>
          <w:sz w:val="28"/>
          <w:szCs w:val="28"/>
          <w14:textFill>
            <w14:solidFill>
              <w14:schemeClr w14:val="tx1"/>
            </w14:solidFill>
          </w14:textFill>
        </w:rPr>
        <w:t>本微专业独立开班，学制一年，利用课余时间授课。线上线下混合式授课。</w:t>
      </w:r>
    </w:p>
    <w:p w14:paraId="19C2A0B3">
      <w:pPr>
        <w:spacing w:line="500" w:lineRule="exact"/>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六、学分认定与证书授予</w:t>
      </w:r>
    </w:p>
    <w:p w14:paraId="5A9BA4A2">
      <w:pPr>
        <w:spacing w:line="500" w:lineRule="exact"/>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学生完成微专业培养方案规定的课程并达到学习要求，由微专业所在学院审核后提出结业名单，报教务处备案，由教务处统一颁发结业证书和成绩单。</w:t>
      </w:r>
      <w:r>
        <w:rPr>
          <w:rFonts w:hint="eastAsia" w:ascii="仿宋" w:hAnsi="仿宋" w:eastAsia="仿宋" w:cs="仿宋"/>
          <w:color w:val="000000" w:themeColor="text1"/>
          <w:sz w:val="28"/>
          <w:szCs w:val="28"/>
          <w:lang w:eastAsia="zh-CN"/>
          <w14:textFill>
            <w14:solidFill>
              <w14:schemeClr w14:val="tx1"/>
            </w14:solidFill>
          </w14:textFill>
        </w:rPr>
        <w:t>微专业是非学历教育，不授予学位。如果</w:t>
      </w:r>
      <w:r>
        <w:rPr>
          <w:rFonts w:hint="eastAsia" w:ascii="仿宋" w:hAnsi="仿宋" w:eastAsia="仿宋" w:cs="仿宋"/>
          <w:color w:val="000000" w:themeColor="text1"/>
          <w:sz w:val="28"/>
          <w:szCs w:val="28"/>
          <w:lang w:val="en-US" w:eastAsia="zh-CN"/>
          <w14:textFill>
            <w14:solidFill>
              <w14:schemeClr w14:val="tx1"/>
            </w14:solidFill>
          </w14:textFill>
        </w:rPr>
        <w:t>本</w:t>
      </w:r>
      <w:r>
        <w:rPr>
          <w:rFonts w:hint="eastAsia" w:ascii="仿宋" w:hAnsi="仿宋" w:eastAsia="仿宋" w:cs="仿宋"/>
          <w:color w:val="000000" w:themeColor="text1"/>
          <w:sz w:val="28"/>
          <w:szCs w:val="28"/>
          <w:lang w:eastAsia="zh-CN"/>
          <w14:textFill>
            <w14:solidFill>
              <w14:schemeClr w14:val="tx1"/>
            </w14:solidFill>
          </w14:textFill>
        </w:rPr>
        <w:t>微专业成功入库教育部学信网</w:t>
      </w:r>
      <w:r>
        <w:rPr>
          <w:rFonts w:hint="eastAsia" w:ascii="仿宋" w:hAnsi="仿宋" w:eastAsia="仿宋" w:cs="仿宋"/>
          <w:color w:val="000000" w:themeColor="text1"/>
          <w:sz w:val="28"/>
          <w:szCs w:val="28"/>
          <w:lang w:val="en-US" w:eastAsia="zh-CN"/>
          <w14:textFill>
            <w14:solidFill>
              <w14:schemeClr w14:val="tx1"/>
            </w14:solidFill>
          </w14:textFill>
        </w:rPr>
        <w:t>获得</w:t>
      </w:r>
      <w:r>
        <w:rPr>
          <w:rFonts w:hint="eastAsia" w:ascii="仿宋" w:hAnsi="仿宋" w:eastAsia="仿宋" w:cs="仿宋"/>
          <w:color w:val="000000" w:themeColor="text1"/>
          <w:sz w:val="28"/>
          <w:szCs w:val="28"/>
          <w:lang w:eastAsia="zh-CN"/>
          <w14:textFill>
            <w14:solidFill>
              <w14:schemeClr w14:val="tx1"/>
            </w14:solidFill>
          </w14:textFill>
        </w:rPr>
        <w:t>备案，毕业生及用人单位可登录学信网查询相关</w:t>
      </w:r>
      <w:bookmarkStart w:id="2" w:name="_GoBack"/>
      <w:bookmarkEnd w:id="2"/>
      <w:r>
        <w:rPr>
          <w:rFonts w:hint="eastAsia" w:ascii="仿宋" w:hAnsi="仿宋" w:eastAsia="仿宋" w:cs="仿宋"/>
          <w:color w:val="000000" w:themeColor="text1"/>
          <w:sz w:val="28"/>
          <w:szCs w:val="28"/>
          <w:lang w:eastAsia="zh-CN"/>
          <w14:textFill>
            <w14:solidFill>
              <w14:schemeClr w14:val="tx1"/>
            </w14:solidFill>
          </w14:textFill>
        </w:rPr>
        <w:t>修读信息。</w:t>
      </w:r>
    </w:p>
    <w:p w14:paraId="2007AEC6">
      <w:pPr>
        <w:spacing w:line="500" w:lineRule="exact"/>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七、微专业课程</w:t>
      </w:r>
    </w:p>
    <w:p w14:paraId="61C8A630">
      <w:pPr>
        <w:spacing w:line="50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（一）课程设置及学时分配表</w:t>
      </w:r>
    </w:p>
    <w:tbl>
      <w:tblPr>
        <w:tblStyle w:val="15"/>
        <w:tblW w:w="5000" w:type="pct"/>
        <w:jc w:val="center"/>
        <w:tblLayout w:type="autofit"/>
        <w:tblCellMar>
          <w:top w:w="0" w:type="dxa"/>
          <w:left w:w="0" w:type="dxa"/>
          <w:bottom w:w="0" w:type="dxa"/>
          <w:right w:w="0" w:type="dxa"/>
        </w:tblCellMar>
      </w:tblPr>
      <w:tblGrid>
        <w:gridCol w:w="844"/>
        <w:gridCol w:w="2555"/>
        <w:gridCol w:w="854"/>
        <w:gridCol w:w="1219"/>
        <w:gridCol w:w="1360"/>
        <w:gridCol w:w="1480"/>
      </w:tblGrid>
      <w:tr w14:paraId="4F36D5C9">
        <w:tblPrEx>
          <w:tblCellMar>
            <w:top w:w="0" w:type="dxa"/>
            <w:left w:w="0" w:type="dxa"/>
            <w:bottom w:w="0" w:type="dxa"/>
            <w:right w:w="0" w:type="dxa"/>
          </w:tblCellMar>
        </w:tblPrEx>
        <w:trPr>
          <w:trHeight w:val="521" w:hRule="atLeast"/>
          <w:jc w:val="center"/>
        </w:trPr>
        <w:tc>
          <w:tcPr>
            <w:tcW w:w="5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99C6B7B">
            <w:pPr>
              <w:spacing w:line="360" w:lineRule="exact"/>
              <w:jc w:val="center"/>
              <w:rPr>
                <w:rFonts w:hint="eastAsia" w:ascii="仿宋" w:hAnsi="仿宋" w:eastAsia="仿宋" w:cs="仿宋"/>
                <w:sz w:val="24"/>
              </w:rPr>
            </w:pPr>
            <w:r>
              <w:rPr>
                <w:rFonts w:hint="eastAsia" w:ascii="仿宋" w:hAnsi="仿宋" w:eastAsia="仿宋" w:cs="仿宋"/>
                <w:sz w:val="24"/>
              </w:rPr>
              <w:t>序号</w:t>
            </w:r>
          </w:p>
        </w:tc>
        <w:tc>
          <w:tcPr>
            <w:tcW w:w="153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0D44B0A">
            <w:pPr>
              <w:spacing w:line="360" w:lineRule="exact"/>
              <w:jc w:val="center"/>
              <w:rPr>
                <w:rFonts w:hint="eastAsia" w:ascii="仿宋" w:hAnsi="仿宋" w:eastAsia="仿宋" w:cs="仿宋"/>
                <w:sz w:val="24"/>
              </w:rPr>
            </w:pPr>
            <w:r>
              <w:rPr>
                <w:rFonts w:hint="eastAsia" w:ascii="仿宋" w:hAnsi="仿宋" w:eastAsia="仿宋" w:cs="仿宋"/>
                <w:sz w:val="24"/>
              </w:rPr>
              <w:t>课程名称</w:t>
            </w:r>
          </w:p>
        </w:tc>
        <w:tc>
          <w:tcPr>
            <w:tcW w:w="5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B4F940D">
            <w:pPr>
              <w:spacing w:line="360" w:lineRule="exact"/>
              <w:jc w:val="center"/>
              <w:rPr>
                <w:rFonts w:hint="eastAsia" w:ascii="仿宋" w:hAnsi="仿宋" w:eastAsia="仿宋" w:cs="仿宋"/>
                <w:sz w:val="24"/>
              </w:rPr>
            </w:pPr>
            <w:r>
              <w:rPr>
                <w:rFonts w:hint="eastAsia" w:ascii="仿宋" w:hAnsi="仿宋" w:eastAsia="仿宋" w:cs="仿宋"/>
                <w:sz w:val="24"/>
              </w:rPr>
              <w:t>学分</w:t>
            </w:r>
          </w:p>
        </w:tc>
        <w:tc>
          <w:tcPr>
            <w:tcW w:w="73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6EF9343">
            <w:pPr>
              <w:spacing w:line="360" w:lineRule="exact"/>
              <w:jc w:val="center"/>
              <w:rPr>
                <w:rFonts w:hint="eastAsia" w:ascii="仿宋" w:hAnsi="仿宋" w:eastAsia="仿宋" w:cs="仿宋"/>
                <w:sz w:val="24"/>
              </w:rPr>
            </w:pPr>
            <w:r>
              <w:rPr>
                <w:rFonts w:hint="eastAsia" w:ascii="仿宋" w:hAnsi="仿宋" w:eastAsia="仿宋" w:cs="仿宋"/>
                <w:sz w:val="24"/>
              </w:rPr>
              <w:t>学时</w:t>
            </w:r>
          </w:p>
        </w:tc>
        <w:tc>
          <w:tcPr>
            <w:tcW w:w="81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FF13153">
            <w:pPr>
              <w:spacing w:line="360" w:lineRule="exact"/>
              <w:jc w:val="center"/>
              <w:rPr>
                <w:rFonts w:hint="eastAsia" w:ascii="仿宋" w:hAnsi="仿宋" w:eastAsia="仿宋" w:cs="仿宋"/>
                <w:sz w:val="24"/>
              </w:rPr>
            </w:pPr>
            <w:r>
              <w:rPr>
                <w:rFonts w:hint="eastAsia" w:ascii="仿宋" w:hAnsi="仿宋" w:eastAsia="仿宋" w:cs="仿宋"/>
                <w:sz w:val="24"/>
              </w:rPr>
              <w:t>开设学期</w:t>
            </w:r>
          </w:p>
        </w:tc>
        <w:tc>
          <w:tcPr>
            <w:tcW w:w="89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2FE4200">
            <w:pPr>
              <w:spacing w:line="360" w:lineRule="exact"/>
              <w:jc w:val="center"/>
              <w:rPr>
                <w:rFonts w:hint="eastAsia" w:ascii="仿宋" w:hAnsi="仿宋" w:eastAsia="仿宋" w:cs="仿宋"/>
                <w:sz w:val="24"/>
              </w:rPr>
            </w:pPr>
            <w:r>
              <w:rPr>
                <w:rFonts w:hint="eastAsia" w:ascii="仿宋" w:hAnsi="仿宋" w:eastAsia="仿宋" w:cs="仿宋"/>
                <w:sz w:val="24"/>
              </w:rPr>
              <w:t>课程性质</w:t>
            </w:r>
          </w:p>
        </w:tc>
      </w:tr>
      <w:tr w14:paraId="7C5EAEAF">
        <w:tblPrEx>
          <w:tblCellMar>
            <w:top w:w="0" w:type="dxa"/>
            <w:left w:w="0" w:type="dxa"/>
            <w:bottom w:w="0" w:type="dxa"/>
            <w:right w:w="0" w:type="dxa"/>
          </w:tblCellMar>
        </w:tblPrEx>
        <w:trPr>
          <w:trHeight w:val="522" w:hRule="atLeast"/>
          <w:jc w:val="center"/>
        </w:trPr>
        <w:tc>
          <w:tcPr>
            <w:tcW w:w="5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7B36C1F">
            <w:pPr>
              <w:spacing w:line="360" w:lineRule="exact"/>
              <w:jc w:val="center"/>
              <w:rPr>
                <w:rFonts w:hint="eastAsia" w:ascii="仿宋" w:hAnsi="仿宋" w:eastAsia="仿宋" w:cs="仿宋"/>
                <w:sz w:val="24"/>
              </w:rPr>
            </w:pPr>
            <w:r>
              <w:rPr>
                <w:rFonts w:hint="eastAsia" w:ascii="仿宋" w:hAnsi="仿宋" w:eastAsia="仿宋" w:cs="仿宋"/>
                <w:sz w:val="24"/>
              </w:rPr>
              <w:t>1</w:t>
            </w:r>
          </w:p>
        </w:tc>
        <w:tc>
          <w:tcPr>
            <w:tcW w:w="153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947B6D4">
            <w:pPr>
              <w:spacing w:line="360" w:lineRule="exact"/>
              <w:jc w:val="center"/>
              <w:rPr>
                <w:rFonts w:hint="eastAsia" w:ascii="仿宋" w:hAnsi="仿宋" w:eastAsia="仿宋" w:cs="仿宋"/>
                <w:sz w:val="24"/>
              </w:rPr>
            </w:pPr>
            <w:r>
              <w:rPr>
                <w:rFonts w:hint="eastAsia" w:ascii="仿宋" w:hAnsi="仿宋" w:eastAsia="仿宋"/>
                <w:sz w:val="24"/>
              </w:rPr>
              <w:t>党务管理学</w:t>
            </w:r>
          </w:p>
        </w:tc>
        <w:tc>
          <w:tcPr>
            <w:tcW w:w="5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F3DCD7D">
            <w:pPr>
              <w:spacing w:line="36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p>
        </w:tc>
        <w:tc>
          <w:tcPr>
            <w:tcW w:w="73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1011299">
            <w:pPr>
              <w:spacing w:line="360" w:lineRule="exact"/>
              <w:jc w:val="center"/>
              <w:rPr>
                <w:rFonts w:hint="eastAsia" w:ascii="仿宋" w:hAnsi="仿宋" w:eastAsia="仿宋" w:cs="仿宋"/>
                <w:color w:val="EE0000"/>
                <w:sz w:val="24"/>
              </w:rPr>
            </w:pPr>
            <w:r>
              <w:rPr>
                <w:rFonts w:hint="eastAsia" w:ascii="仿宋" w:hAnsi="仿宋" w:eastAsia="仿宋" w:cs="仿宋"/>
                <w:color w:val="000000" w:themeColor="text1"/>
                <w:sz w:val="24"/>
                <w14:textFill>
                  <w14:solidFill>
                    <w14:schemeClr w14:val="tx1"/>
                  </w14:solidFill>
                </w14:textFill>
              </w:rPr>
              <w:t>14</w:t>
            </w:r>
          </w:p>
        </w:tc>
        <w:tc>
          <w:tcPr>
            <w:tcW w:w="81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133376B">
            <w:pPr>
              <w:spacing w:line="360" w:lineRule="exact"/>
              <w:jc w:val="center"/>
              <w:rPr>
                <w:rFonts w:hint="eastAsia" w:ascii="仿宋" w:hAnsi="仿宋" w:eastAsia="仿宋" w:cs="仿宋"/>
                <w:sz w:val="24"/>
              </w:rPr>
            </w:pPr>
            <w:r>
              <w:rPr>
                <w:rFonts w:hint="eastAsia" w:ascii="仿宋" w:hAnsi="仿宋" w:eastAsia="仿宋" w:cs="仿宋"/>
                <w:sz w:val="24"/>
              </w:rPr>
              <w:t>第一学期</w:t>
            </w:r>
          </w:p>
        </w:tc>
        <w:tc>
          <w:tcPr>
            <w:tcW w:w="89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4E1FAC8">
            <w:pPr>
              <w:spacing w:line="360" w:lineRule="exact"/>
              <w:jc w:val="center"/>
              <w:rPr>
                <w:rFonts w:hint="eastAsia" w:ascii="仿宋" w:hAnsi="仿宋" w:eastAsia="仿宋" w:cs="仿宋"/>
                <w:color w:val="EE0000"/>
                <w:sz w:val="24"/>
              </w:rPr>
            </w:pPr>
            <w:r>
              <w:rPr>
                <w:rFonts w:hint="eastAsia" w:ascii="仿宋" w:hAnsi="仿宋" w:eastAsia="仿宋" w:cs="仿宋"/>
                <w:color w:val="000000" w:themeColor="text1"/>
                <w:sz w:val="24"/>
                <w14:textFill>
                  <w14:solidFill>
                    <w14:schemeClr w14:val="tx1"/>
                  </w14:solidFill>
                </w14:textFill>
              </w:rPr>
              <w:t>必修</w:t>
            </w:r>
          </w:p>
        </w:tc>
      </w:tr>
      <w:tr w14:paraId="385DAA12">
        <w:tblPrEx>
          <w:tblCellMar>
            <w:top w:w="0" w:type="dxa"/>
            <w:left w:w="0" w:type="dxa"/>
            <w:bottom w:w="0" w:type="dxa"/>
            <w:right w:w="0" w:type="dxa"/>
          </w:tblCellMar>
        </w:tblPrEx>
        <w:trPr>
          <w:trHeight w:val="521" w:hRule="atLeast"/>
          <w:jc w:val="center"/>
        </w:trPr>
        <w:tc>
          <w:tcPr>
            <w:tcW w:w="5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7605C38">
            <w:pPr>
              <w:spacing w:line="360" w:lineRule="exact"/>
              <w:jc w:val="center"/>
              <w:rPr>
                <w:rFonts w:hint="eastAsia" w:ascii="仿宋" w:hAnsi="仿宋" w:eastAsia="仿宋" w:cs="仿宋"/>
                <w:sz w:val="24"/>
              </w:rPr>
            </w:pPr>
            <w:r>
              <w:rPr>
                <w:rFonts w:hint="eastAsia" w:ascii="仿宋" w:hAnsi="仿宋" w:eastAsia="仿宋" w:cs="仿宋"/>
                <w:sz w:val="24"/>
              </w:rPr>
              <w:t>2</w:t>
            </w:r>
          </w:p>
        </w:tc>
        <w:tc>
          <w:tcPr>
            <w:tcW w:w="153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6BEB8DF">
            <w:pPr>
              <w:spacing w:line="360" w:lineRule="exact"/>
              <w:jc w:val="center"/>
              <w:rPr>
                <w:rFonts w:hint="eastAsia" w:ascii="仿宋" w:hAnsi="仿宋" w:eastAsia="仿宋" w:cs="仿宋"/>
                <w:sz w:val="24"/>
              </w:rPr>
            </w:pPr>
            <w:r>
              <w:rPr>
                <w:rFonts w:hint="eastAsia" w:ascii="仿宋" w:hAnsi="仿宋" w:eastAsia="仿宋"/>
                <w:sz w:val="24"/>
              </w:rPr>
              <w:t>党务工作实务</w:t>
            </w:r>
          </w:p>
        </w:tc>
        <w:tc>
          <w:tcPr>
            <w:tcW w:w="5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DC70565">
            <w:pPr>
              <w:spacing w:line="360" w:lineRule="exact"/>
              <w:jc w:val="center"/>
              <w:rPr>
                <w:rFonts w:hint="eastAsia" w:ascii="仿宋" w:hAnsi="仿宋" w:eastAsia="仿宋" w:cs="仿宋"/>
                <w:color w:val="EE0000"/>
                <w:sz w:val="24"/>
              </w:rPr>
            </w:pPr>
            <w:r>
              <w:rPr>
                <w:rFonts w:hint="eastAsia" w:ascii="仿宋" w:hAnsi="仿宋" w:eastAsia="仿宋" w:cs="仿宋"/>
                <w:color w:val="000000" w:themeColor="text1"/>
                <w:sz w:val="24"/>
                <w14:textFill>
                  <w14:solidFill>
                    <w14:schemeClr w14:val="tx1"/>
                  </w14:solidFill>
                </w14:textFill>
              </w:rPr>
              <w:t>2</w:t>
            </w:r>
          </w:p>
        </w:tc>
        <w:tc>
          <w:tcPr>
            <w:tcW w:w="73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726F158">
            <w:pPr>
              <w:spacing w:line="360" w:lineRule="exact"/>
              <w:jc w:val="center"/>
              <w:rPr>
                <w:rFonts w:hint="eastAsia" w:ascii="仿宋" w:hAnsi="仿宋" w:eastAsia="仿宋" w:cs="仿宋"/>
                <w:color w:val="EE0000"/>
                <w:sz w:val="24"/>
              </w:rPr>
            </w:pPr>
            <w:r>
              <w:rPr>
                <w:rFonts w:hint="eastAsia" w:ascii="仿宋" w:hAnsi="仿宋" w:eastAsia="仿宋" w:cs="仿宋"/>
                <w:color w:val="000000" w:themeColor="text1"/>
                <w:sz w:val="24"/>
                <w14:textFill>
                  <w14:solidFill>
                    <w14:schemeClr w14:val="tx1"/>
                  </w14:solidFill>
                </w14:textFill>
              </w:rPr>
              <w:t>28</w:t>
            </w:r>
          </w:p>
        </w:tc>
        <w:tc>
          <w:tcPr>
            <w:tcW w:w="81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C05AE57">
            <w:pPr>
              <w:spacing w:line="360" w:lineRule="exact"/>
              <w:jc w:val="center"/>
              <w:rPr>
                <w:rFonts w:hint="eastAsia" w:ascii="仿宋" w:hAnsi="仿宋" w:eastAsia="仿宋" w:cs="仿宋"/>
                <w:sz w:val="24"/>
              </w:rPr>
            </w:pPr>
            <w:r>
              <w:rPr>
                <w:rFonts w:hint="eastAsia" w:ascii="仿宋" w:hAnsi="仿宋" w:eastAsia="仿宋" w:cs="仿宋"/>
                <w:sz w:val="24"/>
              </w:rPr>
              <w:t>第一学期</w:t>
            </w:r>
          </w:p>
        </w:tc>
        <w:tc>
          <w:tcPr>
            <w:tcW w:w="89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0FDEC43">
            <w:pPr>
              <w:spacing w:line="360" w:lineRule="exact"/>
              <w:jc w:val="center"/>
              <w:rPr>
                <w:rFonts w:hint="eastAsia" w:ascii="仿宋" w:hAnsi="仿宋" w:eastAsia="仿宋" w:cs="仿宋"/>
                <w:color w:val="EE0000"/>
                <w:sz w:val="24"/>
              </w:rPr>
            </w:pPr>
            <w:r>
              <w:rPr>
                <w:rFonts w:hint="eastAsia" w:ascii="仿宋" w:hAnsi="仿宋" w:eastAsia="仿宋" w:cs="仿宋"/>
                <w:color w:val="000000" w:themeColor="text1"/>
                <w:sz w:val="24"/>
                <w14:textFill>
                  <w14:solidFill>
                    <w14:schemeClr w14:val="tx1"/>
                  </w14:solidFill>
                </w14:textFill>
              </w:rPr>
              <w:t>必修</w:t>
            </w:r>
          </w:p>
        </w:tc>
      </w:tr>
      <w:tr w14:paraId="2BB0B4F0">
        <w:tblPrEx>
          <w:tblCellMar>
            <w:top w:w="0" w:type="dxa"/>
            <w:left w:w="0" w:type="dxa"/>
            <w:bottom w:w="0" w:type="dxa"/>
            <w:right w:w="0" w:type="dxa"/>
          </w:tblCellMar>
        </w:tblPrEx>
        <w:trPr>
          <w:trHeight w:val="779" w:hRule="atLeast"/>
          <w:jc w:val="center"/>
        </w:trPr>
        <w:tc>
          <w:tcPr>
            <w:tcW w:w="5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44B3926">
            <w:pPr>
              <w:spacing w:line="360" w:lineRule="exact"/>
              <w:jc w:val="center"/>
              <w:rPr>
                <w:rFonts w:hint="eastAsia" w:ascii="仿宋" w:hAnsi="仿宋" w:eastAsia="仿宋" w:cs="仿宋"/>
                <w:sz w:val="24"/>
              </w:rPr>
            </w:pPr>
            <w:r>
              <w:rPr>
                <w:rFonts w:hint="eastAsia" w:ascii="仿宋" w:hAnsi="仿宋" w:eastAsia="仿宋" w:cs="仿宋"/>
                <w:sz w:val="24"/>
              </w:rPr>
              <w:t>3</w:t>
            </w:r>
          </w:p>
        </w:tc>
        <w:tc>
          <w:tcPr>
            <w:tcW w:w="153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4DC2478">
            <w:pPr>
              <w:spacing w:line="360" w:lineRule="exact"/>
              <w:jc w:val="center"/>
              <w:rPr>
                <w:rFonts w:hint="eastAsia" w:ascii="仿宋" w:hAnsi="仿宋" w:eastAsia="仿宋" w:cs="仿宋"/>
                <w:sz w:val="24"/>
              </w:rPr>
            </w:pPr>
            <w:bookmarkStart w:id="0" w:name="_Hlk168565965"/>
            <w:bookmarkEnd w:id="0"/>
            <w:r>
              <w:rPr>
                <w:rFonts w:hint="eastAsia" w:ascii="仿宋" w:hAnsi="仿宋" w:eastAsia="仿宋"/>
                <w:sz w:val="24"/>
              </w:rPr>
              <w:t>卓越领导力与团队管理</w:t>
            </w:r>
          </w:p>
        </w:tc>
        <w:tc>
          <w:tcPr>
            <w:tcW w:w="5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C6FFC3E">
            <w:pPr>
              <w:spacing w:line="360" w:lineRule="exact"/>
              <w:jc w:val="center"/>
              <w:rPr>
                <w:rFonts w:hint="eastAsia" w:ascii="仿宋" w:hAnsi="仿宋" w:eastAsia="仿宋" w:cs="仿宋"/>
                <w:color w:val="EE0000"/>
                <w:sz w:val="24"/>
              </w:rPr>
            </w:pPr>
            <w:r>
              <w:rPr>
                <w:rFonts w:hint="eastAsia" w:ascii="仿宋" w:hAnsi="仿宋" w:eastAsia="仿宋" w:cs="仿宋"/>
                <w:color w:val="000000" w:themeColor="text1"/>
                <w:sz w:val="24"/>
                <w14:textFill>
                  <w14:solidFill>
                    <w14:schemeClr w14:val="tx1"/>
                  </w14:solidFill>
                </w14:textFill>
              </w:rPr>
              <w:t>2</w:t>
            </w:r>
          </w:p>
        </w:tc>
        <w:tc>
          <w:tcPr>
            <w:tcW w:w="73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F2C988A">
            <w:pPr>
              <w:spacing w:line="360" w:lineRule="exact"/>
              <w:jc w:val="center"/>
              <w:rPr>
                <w:rFonts w:hint="eastAsia" w:ascii="仿宋" w:hAnsi="仿宋" w:eastAsia="仿宋" w:cs="仿宋"/>
                <w:color w:val="EE0000"/>
                <w:sz w:val="24"/>
              </w:rPr>
            </w:pPr>
            <w:r>
              <w:rPr>
                <w:rFonts w:hint="eastAsia" w:ascii="仿宋" w:hAnsi="仿宋" w:eastAsia="仿宋" w:cs="仿宋"/>
                <w:color w:val="000000" w:themeColor="text1"/>
                <w:sz w:val="24"/>
                <w14:textFill>
                  <w14:solidFill>
                    <w14:schemeClr w14:val="tx1"/>
                  </w14:solidFill>
                </w14:textFill>
              </w:rPr>
              <w:t>28</w:t>
            </w:r>
          </w:p>
        </w:tc>
        <w:tc>
          <w:tcPr>
            <w:tcW w:w="81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CE49A95">
            <w:pPr>
              <w:spacing w:line="360" w:lineRule="exact"/>
              <w:jc w:val="center"/>
              <w:rPr>
                <w:rFonts w:hint="eastAsia" w:ascii="仿宋" w:hAnsi="仿宋" w:eastAsia="仿宋" w:cs="仿宋"/>
                <w:sz w:val="24"/>
              </w:rPr>
            </w:pPr>
            <w:r>
              <w:rPr>
                <w:rFonts w:hint="eastAsia" w:ascii="仿宋" w:hAnsi="仿宋" w:eastAsia="仿宋" w:cs="仿宋"/>
                <w:sz w:val="24"/>
              </w:rPr>
              <w:t>第二学期</w:t>
            </w:r>
          </w:p>
        </w:tc>
        <w:tc>
          <w:tcPr>
            <w:tcW w:w="89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90B25AA">
            <w:pPr>
              <w:spacing w:line="360" w:lineRule="exact"/>
              <w:jc w:val="center"/>
              <w:rPr>
                <w:rFonts w:hint="eastAsia" w:ascii="仿宋" w:hAnsi="仿宋" w:eastAsia="仿宋" w:cs="仿宋"/>
                <w:color w:val="EE0000"/>
                <w:sz w:val="24"/>
              </w:rPr>
            </w:pPr>
            <w:r>
              <w:rPr>
                <w:rFonts w:hint="eastAsia" w:ascii="仿宋" w:hAnsi="仿宋" w:eastAsia="仿宋" w:cs="仿宋"/>
                <w:color w:val="000000" w:themeColor="text1"/>
                <w:sz w:val="24"/>
                <w14:textFill>
                  <w14:solidFill>
                    <w14:schemeClr w14:val="tx1"/>
                  </w14:solidFill>
                </w14:textFill>
              </w:rPr>
              <w:t>必修</w:t>
            </w:r>
          </w:p>
        </w:tc>
      </w:tr>
      <w:tr w14:paraId="01CF5808">
        <w:tblPrEx>
          <w:tblCellMar>
            <w:top w:w="0" w:type="dxa"/>
            <w:left w:w="0" w:type="dxa"/>
            <w:bottom w:w="0" w:type="dxa"/>
            <w:right w:w="0" w:type="dxa"/>
          </w:tblCellMar>
        </w:tblPrEx>
        <w:trPr>
          <w:trHeight w:val="760" w:hRule="atLeast"/>
          <w:jc w:val="center"/>
        </w:trPr>
        <w:tc>
          <w:tcPr>
            <w:tcW w:w="5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51A2E49">
            <w:pPr>
              <w:spacing w:line="360" w:lineRule="exact"/>
              <w:jc w:val="center"/>
              <w:rPr>
                <w:rFonts w:hint="eastAsia" w:ascii="仿宋" w:hAnsi="仿宋" w:eastAsia="仿宋" w:cs="仿宋"/>
                <w:sz w:val="24"/>
              </w:rPr>
            </w:pPr>
            <w:r>
              <w:rPr>
                <w:rFonts w:hint="eastAsia" w:ascii="仿宋" w:hAnsi="仿宋" w:eastAsia="仿宋" w:cs="仿宋"/>
                <w:sz w:val="24"/>
              </w:rPr>
              <w:t>4</w:t>
            </w:r>
          </w:p>
        </w:tc>
        <w:tc>
          <w:tcPr>
            <w:tcW w:w="153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86E6ADB">
            <w:pPr>
              <w:spacing w:line="360" w:lineRule="exact"/>
              <w:jc w:val="center"/>
              <w:rPr>
                <w:rFonts w:hint="eastAsia" w:ascii="仿宋" w:hAnsi="仿宋" w:eastAsia="仿宋" w:cs="仿宋"/>
                <w:sz w:val="24"/>
              </w:rPr>
            </w:pPr>
            <w:r>
              <w:rPr>
                <w:rFonts w:hint="eastAsia" w:ascii="仿宋" w:hAnsi="仿宋" w:eastAsia="仿宋"/>
                <w:sz w:val="24"/>
              </w:rPr>
              <w:t>领导科学与艺术</w:t>
            </w:r>
          </w:p>
        </w:tc>
        <w:tc>
          <w:tcPr>
            <w:tcW w:w="5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F062036">
            <w:pPr>
              <w:spacing w:line="360" w:lineRule="exact"/>
              <w:jc w:val="center"/>
              <w:rPr>
                <w:rFonts w:hint="eastAsia" w:ascii="仿宋" w:hAnsi="仿宋" w:eastAsia="仿宋" w:cs="仿宋"/>
                <w:color w:val="EE0000"/>
                <w:sz w:val="24"/>
              </w:rPr>
            </w:pPr>
            <w:r>
              <w:rPr>
                <w:rFonts w:hint="eastAsia" w:ascii="仿宋" w:hAnsi="仿宋" w:eastAsia="仿宋" w:cs="仿宋"/>
                <w:color w:val="000000" w:themeColor="text1"/>
                <w:sz w:val="24"/>
                <w14:textFill>
                  <w14:solidFill>
                    <w14:schemeClr w14:val="tx1"/>
                  </w14:solidFill>
                </w14:textFill>
              </w:rPr>
              <w:t>2</w:t>
            </w:r>
          </w:p>
        </w:tc>
        <w:tc>
          <w:tcPr>
            <w:tcW w:w="73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90E8A7D">
            <w:pPr>
              <w:spacing w:line="360" w:lineRule="exact"/>
              <w:jc w:val="center"/>
              <w:rPr>
                <w:rFonts w:hint="eastAsia" w:ascii="仿宋" w:hAnsi="仿宋" w:eastAsia="仿宋" w:cs="仿宋"/>
                <w:color w:val="EE0000"/>
                <w:sz w:val="24"/>
              </w:rPr>
            </w:pPr>
            <w:r>
              <w:rPr>
                <w:rFonts w:hint="eastAsia" w:ascii="仿宋" w:hAnsi="仿宋" w:eastAsia="仿宋" w:cs="仿宋"/>
                <w:color w:val="000000" w:themeColor="text1"/>
                <w:sz w:val="24"/>
                <w14:textFill>
                  <w14:solidFill>
                    <w14:schemeClr w14:val="tx1"/>
                  </w14:solidFill>
                </w14:textFill>
              </w:rPr>
              <w:t>28</w:t>
            </w:r>
          </w:p>
        </w:tc>
        <w:tc>
          <w:tcPr>
            <w:tcW w:w="81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DE3B333">
            <w:pPr>
              <w:spacing w:line="360" w:lineRule="exact"/>
              <w:jc w:val="center"/>
              <w:rPr>
                <w:rFonts w:hint="eastAsia" w:ascii="仿宋" w:hAnsi="仿宋" w:eastAsia="仿宋" w:cs="仿宋"/>
                <w:sz w:val="24"/>
              </w:rPr>
            </w:pPr>
            <w:r>
              <w:rPr>
                <w:rFonts w:hint="eastAsia" w:ascii="仿宋" w:hAnsi="仿宋" w:eastAsia="仿宋" w:cs="仿宋"/>
                <w:sz w:val="24"/>
              </w:rPr>
              <w:t>第二学期</w:t>
            </w:r>
          </w:p>
        </w:tc>
        <w:tc>
          <w:tcPr>
            <w:tcW w:w="89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35EAAE8">
            <w:pPr>
              <w:spacing w:line="360" w:lineRule="exact"/>
              <w:jc w:val="center"/>
              <w:rPr>
                <w:rFonts w:hint="eastAsia" w:ascii="仿宋" w:hAnsi="仿宋" w:eastAsia="仿宋" w:cs="仿宋"/>
                <w:color w:val="EE0000"/>
                <w:sz w:val="24"/>
              </w:rPr>
            </w:pPr>
            <w:r>
              <w:rPr>
                <w:rFonts w:hint="eastAsia" w:ascii="仿宋" w:hAnsi="仿宋" w:eastAsia="仿宋" w:cs="仿宋"/>
                <w:color w:val="000000" w:themeColor="text1"/>
                <w:sz w:val="24"/>
                <w14:textFill>
                  <w14:solidFill>
                    <w14:schemeClr w14:val="tx1"/>
                  </w14:solidFill>
                </w14:textFill>
              </w:rPr>
              <w:t>必修</w:t>
            </w:r>
          </w:p>
        </w:tc>
      </w:tr>
      <w:tr w14:paraId="3CF5F2B4">
        <w:tblPrEx>
          <w:tblCellMar>
            <w:top w:w="0" w:type="dxa"/>
            <w:left w:w="0" w:type="dxa"/>
            <w:bottom w:w="0" w:type="dxa"/>
            <w:right w:w="0" w:type="dxa"/>
          </w:tblCellMar>
        </w:tblPrEx>
        <w:trPr>
          <w:trHeight w:val="954" w:hRule="atLeast"/>
          <w:jc w:val="center"/>
        </w:trPr>
        <w:tc>
          <w:tcPr>
            <w:tcW w:w="5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A70E4E8">
            <w:pPr>
              <w:spacing w:line="360" w:lineRule="exact"/>
              <w:jc w:val="center"/>
              <w:rPr>
                <w:rFonts w:hint="eastAsia" w:ascii="仿宋" w:hAnsi="仿宋" w:eastAsia="仿宋" w:cs="仿宋"/>
                <w:sz w:val="24"/>
              </w:rPr>
            </w:pPr>
            <w:r>
              <w:rPr>
                <w:rFonts w:hint="eastAsia" w:ascii="仿宋" w:hAnsi="仿宋" w:eastAsia="仿宋" w:cs="仿宋"/>
                <w:sz w:val="24"/>
              </w:rPr>
              <w:t>5</w:t>
            </w:r>
          </w:p>
        </w:tc>
        <w:tc>
          <w:tcPr>
            <w:tcW w:w="153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80A3C07">
            <w:pPr>
              <w:spacing w:line="360" w:lineRule="exact"/>
              <w:jc w:val="center"/>
              <w:rPr>
                <w:rFonts w:hint="eastAsia" w:ascii="仿宋" w:hAnsi="仿宋" w:eastAsia="仿宋" w:cs="仿宋"/>
                <w:sz w:val="24"/>
              </w:rPr>
            </w:pPr>
            <w:bookmarkStart w:id="1" w:name="_Hlk168566011"/>
            <w:bookmarkEnd w:id="1"/>
            <w:r>
              <w:rPr>
                <w:rFonts w:hint="eastAsia" w:ascii="仿宋" w:hAnsi="仿宋" w:eastAsia="仿宋"/>
                <w:sz w:val="24"/>
              </w:rPr>
              <w:t>数字时代党建创新与智慧党务应用</w:t>
            </w:r>
          </w:p>
        </w:tc>
        <w:tc>
          <w:tcPr>
            <w:tcW w:w="5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BAD954D">
            <w:pPr>
              <w:spacing w:line="360" w:lineRule="exact"/>
              <w:jc w:val="center"/>
              <w:rPr>
                <w:rFonts w:hint="eastAsia" w:ascii="仿宋" w:hAnsi="仿宋" w:eastAsia="仿宋" w:cs="仿宋"/>
                <w:color w:val="EE0000"/>
                <w:sz w:val="24"/>
              </w:rPr>
            </w:pPr>
            <w:r>
              <w:rPr>
                <w:rFonts w:hint="eastAsia" w:ascii="仿宋" w:hAnsi="仿宋" w:eastAsia="仿宋" w:cs="仿宋"/>
                <w:color w:val="000000" w:themeColor="text1"/>
                <w:sz w:val="24"/>
                <w14:textFill>
                  <w14:solidFill>
                    <w14:schemeClr w14:val="tx1"/>
                  </w14:solidFill>
                </w14:textFill>
              </w:rPr>
              <w:t>1</w:t>
            </w:r>
          </w:p>
        </w:tc>
        <w:tc>
          <w:tcPr>
            <w:tcW w:w="73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D45817A">
            <w:pPr>
              <w:spacing w:line="36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14</w:t>
            </w:r>
          </w:p>
        </w:tc>
        <w:tc>
          <w:tcPr>
            <w:tcW w:w="81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E8506FE">
            <w:pPr>
              <w:spacing w:line="360" w:lineRule="exact"/>
              <w:jc w:val="center"/>
              <w:rPr>
                <w:rFonts w:hint="eastAsia" w:ascii="仿宋" w:hAnsi="仿宋" w:eastAsia="仿宋" w:cs="仿宋"/>
                <w:sz w:val="24"/>
              </w:rPr>
            </w:pPr>
            <w:r>
              <w:rPr>
                <w:rFonts w:hint="eastAsia" w:ascii="仿宋" w:hAnsi="仿宋" w:eastAsia="仿宋" w:cs="仿宋"/>
                <w:sz w:val="24"/>
              </w:rPr>
              <w:t>第二学期</w:t>
            </w:r>
          </w:p>
        </w:tc>
        <w:tc>
          <w:tcPr>
            <w:tcW w:w="89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069FC04">
            <w:pPr>
              <w:spacing w:line="360" w:lineRule="exact"/>
              <w:jc w:val="center"/>
              <w:rPr>
                <w:rFonts w:hint="eastAsia" w:ascii="仿宋" w:hAnsi="仿宋" w:eastAsia="仿宋" w:cs="仿宋"/>
                <w:color w:val="EE0000"/>
                <w:sz w:val="24"/>
              </w:rPr>
            </w:pPr>
            <w:r>
              <w:rPr>
                <w:rFonts w:hint="eastAsia" w:ascii="仿宋" w:hAnsi="仿宋" w:eastAsia="仿宋" w:cs="仿宋"/>
                <w:color w:val="000000" w:themeColor="text1"/>
                <w:sz w:val="24"/>
                <w14:textFill>
                  <w14:solidFill>
                    <w14:schemeClr w14:val="tx1"/>
                  </w14:solidFill>
                </w14:textFill>
              </w:rPr>
              <w:t>必修</w:t>
            </w:r>
          </w:p>
        </w:tc>
      </w:tr>
    </w:tbl>
    <w:p w14:paraId="6233E021">
      <w:pPr>
        <w:spacing w:line="500" w:lineRule="exact"/>
        <w:rPr>
          <w:rFonts w:hint="eastAsia" w:ascii="仿宋" w:hAnsi="仿宋" w:eastAsia="仿宋" w:cs="仿宋"/>
          <w:sz w:val="28"/>
          <w:szCs w:val="28"/>
        </w:rPr>
      </w:pPr>
      <w:r>
        <w:rPr>
          <w:rFonts w:hint="eastAsia" w:ascii="仿宋" w:hAnsi="仿宋" w:eastAsia="仿宋" w:cs="仿宋"/>
          <w:b/>
          <w:bCs/>
          <w:sz w:val="28"/>
          <w:szCs w:val="28"/>
        </w:rPr>
        <w:t>（二）课程简介</w:t>
      </w:r>
    </w:p>
    <w:p w14:paraId="46D7E24E">
      <w:pPr>
        <w:spacing w:line="500" w:lineRule="exact"/>
        <w:ind w:firstLine="562" w:firstLineChars="200"/>
        <w:rPr>
          <w:rFonts w:hint="eastAsia" w:ascii="仿宋" w:hAnsi="仿宋" w:eastAsia="仿宋"/>
          <w:sz w:val="28"/>
          <w:szCs w:val="28"/>
        </w:rPr>
      </w:pPr>
      <w:r>
        <w:rPr>
          <w:rFonts w:hint="eastAsia" w:ascii="仿宋" w:hAnsi="仿宋" w:eastAsia="仿宋"/>
          <w:b/>
          <w:bCs/>
          <w:sz w:val="28"/>
          <w:szCs w:val="28"/>
        </w:rPr>
        <w:t>1.党务管理学：</w:t>
      </w:r>
      <w:r>
        <w:rPr>
          <w:rFonts w:hint="eastAsia" w:ascii="仿宋" w:hAnsi="仿宋" w:eastAsia="仿宋"/>
          <w:sz w:val="28"/>
          <w:szCs w:val="28"/>
        </w:rPr>
        <w:t>本课程以党务管理为主线，系统介绍党务管理的内容、范围与机构，以及党务管理的发展历程、各类基层党组织的党务管理和国外政党党务管理，以掌握党务管理理论体系和具备扎实的专业基础知识。</w:t>
      </w:r>
    </w:p>
    <w:p w14:paraId="36C8A48A">
      <w:pPr>
        <w:spacing w:line="500" w:lineRule="exact"/>
        <w:ind w:firstLine="562" w:firstLineChars="200"/>
        <w:rPr>
          <w:rFonts w:hint="eastAsia" w:ascii="仿宋" w:hAnsi="仿宋" w:eastAsia="仿宋"/>
          <w:sz w:val="28"/>
          <w:szCs w:val="28"/>
        </w:rPr>
      </w:pPr>
      <w:r>
        <w:rPr>
          <w:rFonts w:hint="eastAsia" w:ascii="仿宋" w:hAnsi="仿宋" w:eastAsia="仿宋"/>
          <w:b/>
          <w:bCs/>
          <w:sz w:val="28"/>
          <w:szCs w:val="28"/>
        </w:rPr>
        <w:t>2.党务工作实务：</w:t>
      </w:r>
      <w:r>
        <w:rPr>
          <w:rFonts w:hint="eastAsia" w:ascii="仿宋" w:hAnsi="仿宋" w:eastAsia="仿宋"/>
          <w:sz w:val="28"/>
          <w:szCs w:val="28"/>
        </w:rPr>
        <w:t>本课程采用“学练结合”模式，围绕发展党员、党务文书写作、党务调研方法等主题开展授课，并与相关政府部门、企事业单位等共同教学，通过开展党建观摩活动、邀请优秀党务干部座谈等形式，强化学生的实务操作能力。</w:t>
      </w:r>
    </w:p>
    <w:p w14:paraId="4A5D05A5">
      <w:pPr>
        <w:spacing w:line="500" w:lineRule="exact"/>
        <w:ind w:firstLine="562" w:firstLineChars="200"/>
        <w:rPr>
          <w:rFonts w:hint="eastAsia" w:ascii="仿宋" w:hAnsi="仿宋" w:eastAsia="仿宋"/>
          <w:sz w:val="28"/>
          <w:szCs w:val="28"/>
        </w:rPr>
      </w:pPr>
      <w:r>
        <w:rPr>
          <w:rFonts w:hint="eastAsia" w:ascii="仿宋" w:hAnsi="仿宋" w:eastAsia="仿宋"/>
          <w:b/>
          <w:bCs/>
          <w:sz w:val="28"/>
          <w:szCs w:val="28"/>
        </w:rPr>
        <w:t>3.卓越领导力与团队管理：</w:t>
      </w:r>
      <w:r>
        <w:rPr>
          <w:rFonts w:hint="eastAsia" w:ascii="仿宋" w:hAnsi="仿宋" w:eastAsia="仿宋"/>
          <w:sz w:val="28"/>
          <w:szCs w:val="28"/>
        </w:rPr>
        <w:t>本课程讲授领导力的核心理论、模型与提升路径，涵盖战略思维、决策能力、激励与沟通、冲突管理、团队建设等内容，通过案例分析和情景模拟提升领导技能。</w:t>
      </w:r>
    </w:p>
    <w:p w14:paraId="6DAE57AA">
      <w:pPr>
        <w:spacing w:line="500" w:lineRule="exact"/>
        <w:ind w:firstLine="562" w:firstLineChars="200"/>
        <w:rPr>
          <w:rFonts w:hint="eastAsia" w:ascii="仿宋" w:hAnsi="仿宋" w:eastAsia="仿宋"/>
          <w:sz w:val="28"/>
          <w:szCs w:val="28"/>
        </w:rPr>
      </w:pPr>
      <w:r>
        <w:rPr>
          <w:rFonts w:hint="eastAsia" w:ascii="仿宋" w:hAnsi="仿宋" w:eastAsia="仿宋"/>
          <w:b/>
          <w:bCs/>
          <w:sz w:val="28"/>
          <w:szCs w:val="28"/>
        </w:rPr>
        <w:t>4.领导科学与艺术：</w:t>
      </w:r>
      <w:r>
        <w:rPr>
          <w:rFonts w:hint="eastAsia" w:ascii="仿宋" w:hAnsi="仿宋" w:eastAsia="仿宋"/>
          <w:sz w:val="28"/>
          <w:szCs w:val="28"/>
        </w:rPr>
        <w:t>本课程聚焦现代领导力的核心理论与实践技巧，采取“理论讲授+案例分析+情境模拟”的多元教学模式，通过经典案例研讨、角色扮演及团队协作任务，旨在培养具有全局视野、创新思维和人文关怀的复合型领导者。</w:t>
      </w:r>
    </w:p>
    <w:p w14:paraId="69017FE4">
      <w:pPr>
        <w:spacing w:line="500" w:lineRule="exact"/>
        <w:ind w:firstLine="562" w:firstLineChars="200"/>
        <w:rPr>
          <w:rFonts w:hint="eastAsia" w:ascii="仿宋" w:hAnsi="仿宋" w:eastAsia="仿宋"/>
          <w:sz w:val="28"/>
          <w:szCs w:val="28"/>
        </w:rPr>
      </w:pPr>
      <w:r>
        <w:rPr>
          <w:rFonts w:hint="eastAsia" w:ascii="仿宋" w:hAnsi="仿宋" w:eastAsia="仿宋"/>
          <w:b/>
          <w:bCs/>
          <w:sz w:val="28"/>
          <w:szCs w:val="28"/>
        </w:rPr>
        <w:t>5.数字时代党建创新与智慧党务应用：</w:t>
      </w:r>
      <w:r>
        <w:rPr>
          <w:rFonts w:hint="eastAsia" w:ascii="仿宋" w:hAnsi="仿宋" w:eastAsia="仿宋"/>
          <w:sz w:val="28"/>
          <w:szCs w:val="28"/>
        </w:rPr>
        <w:t>本课程探讨信息技术在党建工作中的应用，介绍智慧党建平台、大数据分析等在党员管理、组织生活、学习教育等方面的创新实践，提升学生运用现代技术开展党务工作的能力。</w:t>
      </w:r>
    </w:p>
    <w:p w14:paraId="3E5189B1">
      <w:pPr>
        <w:spacing w:line="500" w:lineRule="exact"/>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八、报名和咨询</w:t>
      </w:r>
    </w:p>
    <w:p w14:paraId="49C9A6BA">
      <w:pPr>
        <w:spacing w:line="500" w:lineRule="exact"/>
        <w:ind w:firstLine="562"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sz w:val="28"/>
          <w:szCs w:val="28"/>
        </w:rPr>
        <w:t>1.报名方式：</w:t>
      </w:r>
      <w:r>
        <w:rPr>
          <w:rFonts w:hint="eastAsia" w:ascii="仿宋" w:hAnsi="仿宋" w:eastAsia="仿宋" w:cs="仿宋"/>
          <w:color w:val="000000" w:themeColor="text1"/>
          <w:sz w:val="28"/>
          <w:szCs w:val="28"/>
          <w14:textFill>
            <w14:solidFill>
              <w14:schemeClr w14:val="tx1"/>
            </w14:solidFill>
          </w14:textFill>
        </w:rPr>
        <w:t>有意报名的同学请加QQ群（群号：954056886），具体安排请等待群内后续通知。</w:t>
      </w:r>
    </w:p>
    <w:p w14:paraId="304FD6D9">
      <w:pPr>
        <w:spacing w:line="500" w:lineRule="exact"/>
        <w:ind w:firstLine="562"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sz w:val="28"/>
          <w:szCs w:val="28"/>
        </w:rPr>
        <w:t>2.咨询方式：</w:t>
      </w:r>
      <w:r>
        <w:rPr>
          <w:rFonts w:hint="eastAsia" w:ascii="仿宋" w:hAnsi="仿宋" w:eastAsia="仿宋" w:cs="仿宋"/>
          <w:color w:val="000000" w:themeColor="text1"/>
          <w:sz w:val="28"/>
          <w:szCs w:val="28"/>
          <w14:textFill>
            <w14:solidFill>
              <w14:schemeClr w14:val="tx1"/>
            </w14:solidFill>
          </w14:textFill>
        </w:rPr>
        <w:t>工作咨询、联系人：</w:t>
      </w:r>
      <w:r>
        <w:rPr>
          <w:rFonts w:hint="eastAsia" w:ascii="仿宋" w:hAnsi="仿宋" w:eastAsia="仿宋" w:cs="仿宋"/>
          <w:color w:val="000000" w:themeColor="text1"/>
          <w:sz w:val="28"/>
          <w:szCs w:val="28"/>
          <w:lang w:val="en-US" w:eastAsia="zh-CN"/>
          <w14:textFill>
            <w14:solidFill>
              <w14:schemeClr w14:val="tx1"/>
            </w14:solidFill>
          </w14:textFill>
        </w:rPr>
        <w:t>王</w:t>
      </w:r>
      <w:r>
        <w:rPr>
          <w:rFonts w:hint="eastAsia" w:ascii="仿宋" w:hAnsi="仿宋" w:eastAsia="仿宋" w:cs="仿宋"/>
          <w:color w:val="000000" w:themeColor="text1"/>
          <w:sz w:val="28"/>
          <w:szCs w:val="28"/>
          <w14:textFill>
            <w14:solidFill>
              <w14:schemeClr w14:val="tx1"/>
            </w14:solidFill>
          </w14:textFill>
        </w:rPr>
        <w:t>老师 0516-83656487。</w:t>
      </w:r>
    </w:p>
    <w:p w14:paraId="01F21329">
      <w:pPr>
        <w:spacing w:line="500" w:lineRule="exact"/>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QQ群二维码：</w:t>
      </w:r>
    </w:p>
    <w:p w14:paraId="3ED5B495">
      <w:pPr>
        <w:rPr>
          <w:rFonts w:hint="eastAsia" w:ascii="仿宋" w:hAnsi="仿宋" w:eastAsia="仿宋" w:cs="仿宋"/>
        </w:rPr>
      </w:pPr>
      <w:r>
        <w:rPr>
          <w:rFonts w:hint="eastAsia" w:ascii="仿宋" w:hAnsi="仿宋" w:eastAsia="仿宋" w:cs="仿宋"/>
          <w:color w:val="000000" w:themeColor="text1"/>
          <w:sz w:val="28"/>
          <w:szCs w:val="28"/>
          <w14:textFill>
            <w14:solidFill>
              <w14:schemeClr w14:val="tx1"/>
            </w14:solidFill>
          </w14:textFill>
        </w:rPr>
        <w:drawing>
          <wp:inline distT="0" distB="0" distL="114300" distR="114300">
            <wp:extent cx="1591945" cy="2202815"/>
            <wp:effectExtent l="0" t="0" r="8255" b="6985"/>
            <wp:docPr id="2" name="图片 2" descr="a54e726572b88f3d69cbe8a46821db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54e726572b88f3d69cbe8a46821db7b"/>
                    <pic:cNvPicPr>
                      <a:picLocks noChangeAspect="1"/>
                    </pic:cNvPicPr>
                  </pic:nvPicPr>
                  <pic:blipFill>
                    <a:blip r:embed="rId7"/>
                    <a:stretch>
                      <a:fillRect/>
                    </a:stretch>
                  </pic:blipFill>
                  <pic:spPr>
                    <a:xfrm>
                      <a:off x="0" y="0"/>
                      <a:ext cx="1591945" cy="2202815"/>
                    </a:xfrm>
                    <a:prstGeom prst="rect">
                      <a:avLst/>
                    </a:prstGeom>
                  </pic:spPr>
                </pic:pic>
              </a:graphicData>
            </a:graphic>
          </wp:inline>
        </w:drawing>
      </w:r>
    </w:p>
    <w:p w14:paraId="53C5AD6D">
      <w:pPr>
        <w:rPr>
          <w:rFonts w:hint="eastAsia" w:ascii="仿宋" w:hAnsi="仿宋" w:eastAsia="仿宋" w:cs="仿宋"/>
        </w:rPr>
      </w:pPr>
    </w:p>
    <w:sectPr>
      <w:footerReference r:id="rId5" w:type="default"/>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9AC6E">
    <w:pPr>
      <w:pStyle w:val="11"/>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5FD305">
                          <w:pPr>
                            <w:pStyle w:val="11"/>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A5FD305">
                    <w:pPr>
                      <w:pStyle w:val="11"/>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774"/>
    <w:rsid w:val="000C0086"/>
    <w:rsid w:val="001031BD"/>
    <w:rsid w:val="001A1EC7"/>
    <w:rsid w:val="002B3926"/>
    <w:rsid w:val="002D7D9A"/>
    <w:rsid w:val="00414670"/>
    <w:rsid w:val="00437342"/>
    <w:rsid w:val="004B2280"/>
    <w:rsid w:val="004E3D93"/>
    <w:rsid w:val="00570A03"/>
    <w:rsid w:val="00570EED"/>
    <w:rsid w:val="005A2FB8"/>
    <w:rsid w:val="00617C16"/>
    <w:rsid w:val="00630A57"/>
    <w:rsid w:val="006A5319"/>
    <w:rsid w:val="00751CBB"/>
    <w:rsid w:val="0078492C"/>
    <w:rsid w:val="007B173B"/>
    <w:rsid w:val="00833E9D"/>
    <w:rsid w:val="008A2774"/>
    <w:rsid w:val="009613C3"/>
    <w:rsid w:val="00990F16"/>
    <w:rsid w:val="00A82C03"/>
    <w:rsid w:val="00B21122"/>
    <w:rsid w:val="00B81266"/>
    <w:rsid w:val="00B85620"/>
    <w:rsid w:val="00BF0027"/>
    <w:rsid w:val="00C217F2"/>
    <w:rsid w:val="00C30787"/>
    <w:rsid w:val="00C900F4"/>
    <w:rsid w:val="00CB6C1D"/>
    <w:rsid w:val="00D05706"/>
    <w:rsid w:val="00D5476C"/>
    <w:rsid w:val="00D82BBF"/>
    <w:rsid w:val="00DA1402"/>
    <w:rsid w:val="00DB62CB"/>
    <w:rsid w:val="00E8375A"/>
    <w:rsid w:val="00E85A10"/>
    <w:rsid w:val="00EB5005"/>
    <w:rsid w:val="00F15ECB"/>
    <w:rsid w:val="01967DCC"/>
    <w:rsid w:val="02B26E88"/>
    <w:rsid w:val="06B17456"/>
    <w:rsid w:val="07B243E1"/>
    <w:rsid w:val="07B62F76"/>
    <w:rsid w:val="08A94889"/>
    <w:rsid w:val="0A51342A"/>
    <w:rsid w:val="0B0C7351"/>
    <w:rsid w:val="0C264442"/>
    <w:rsid w:val="12BA53EE"/>
    <w:rsid w:val="13E72709"/>
    <w:rsid w:val="144A7850"/>
    <w:rsid w:val="172E0224"/>
    <w:rsid w:val="1B3C2384"/>
    <w:rsid w:val="1C9F35F0"/>
    <w:rsid w:val="20BD4177"/>
    <w:rsid w:val="21FF6B6E"/>
    <w:rsid w:val="283F6779"/>
    <w:rsid w:val="2B5A4264"/>
    <w:rsid w:val="2C994A91"/>
    <w:rsid w:val="2DCE00FB"/>
    <w:rsid w:val="33410B3F"/>
    <w:rsid w:val="35D95EFE"/>
    <w:rsid w:val="36221F90"/>
    <w:rsid w:val="396C7089"/>
    <w:rsid w:val="3A7158D5"/>
    <w:rsid w:val="3D6271E6"/>
    <w:rsid w:val="3D931088"/>
    <w:rsid w:val="3F4A39C9"/>
    <w:rsid w:val="401069C0"/>
    <w:rsid w:val="41B45A71"/>
    <w:rsid w:val="4568104C"/>
    <w:rsid w:val="49374FBE"/>
    <w:rsid w:val="49BC54C3"/>
    <w:rsid w:val="4BE03292"/>
    <w:rsid w:val="564F02BB"/>
    <w:rsid w:val="5945729D"/>
    <w:rsid w:val="5B771E8A"/>
    <w:rsid w:val="5D461798"/>
    <w:rsid w:val="618F64C1"/>
    <w:rsid w:val="65B34BF2"/>
    <w:rsid w:val="6A136F29"/>
    <w:rsid w:val="6DC924CB"/>
    <w:rsid w:val="6DE5298B"/>
    <w:rsid w:val="6EAE7221"/>
    <w:rsid w:val="70FC24C5"/>
    <w:rsid w:val="71924BD7"/>
    <w:rsid w:val="73440A60"/>
    <w:rsid w:val="752419D7"/>
    <w:rsid w:val="76564426"/>
    <w:rsid w:val="775D54AA"/>
    <w:rsid w:val="79503C76"/>
    <w:rsid w:val="7CBE0F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unhideWhenUsed/>
    <w:qFormat/>
    <w:uiPriority w:val="99"/>
    <w:pPr>
      <w:tabs>
        <w:tab w:val="center" w:pos="4153"/>
        <w:tab w:val="right" w:pos="8306"/>
      </w:tabs>
      <w:snapToGrid w:val="0"/>
    </w:pPr>
    <w:rPr>
      <w:sz w:val="18"/>
    </w:rPr>
  </w:style>
  <w:style w:type="paragraph" w:styleId="12">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7">
    <w:name w:val="Strong"/>
    <w:basedOn w:val="16"/>
    <w:qFormat/>
    <w:uiPriority w:val="22"/>
    <w:rPr>
      <w:b/>
    </w:rPr>
  </w:style>
  <w:style w:type="character" w:customStyle="1" w:styleId="18">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6"/>
    <w:link w:val="5"/>
    <w:semiHidden/>
    <w:qFormat/>
    <w:uiPriority w:val="9"/>
    <w:rPr>
      <w:rFonts w:cstheme="majorBidi"/>
      <w:color w:val="104862" w:themeColor="accent1" w:themeShade="BF"/>
      <w:sz w:val="28"/>
      <w:szCs w:val="28"/>
    </w:rPr>
  </w:style>
  <w:style w:type="character" w:customStyle="1" w:styleId="22">
    <w:name w:val="标题 5 字符"/>
    <w:basedOn w:val="16"/>
    <w:link w:val="6"/>
    <w:semiHidden/>
    <w:qFormat/>
    <w:uiPriority w:val="9"/>
    <w:rPr>
      <w:rFonts w:cstheme="majorBidi"/>
      <w:color w:val="104862" w:themeColor="accent1" w:themeShade="BF"/>
      <w:sz w:val="24"/>
    </w:rPr>
  </w:style>
  <w:style w:type="character" w:customStyle="1" w:styleId="23">
    <w:name w:val="标题 6 字符"/>
    <w:basedOn w:val="16"/>
    <w:link w:val="7"/>
    <w:semiHidden/>
    <w:qFormat/>
    <w:uiPriority w:val="9"/>
    <w:rPr>
      <w:rFonts w:cstheme="majorBidi"/>
      <w:b/>
      <w:bCs/>
      <w:color w:val="104862"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6"/>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6"/>
    <w:link w:val="33"/>
    <w:qFormat/>
    <w:uiPriority w:val="30"/>
    <w:rPr>
      <w:i/>
      <w:iCs/>
      <w:color w:val="104862" w:themeColor="accent1" w:themeShade="BF"/>
    </w:rPr>
  </w:style>
  <w:style w:type="character" w:customStyle="1" w:styleId="35">
    <w:name w:val="明显参考1"/>
    <w:basedOn w:val="16"/>
    <w:qFormat/>
    <w:uiPriority w:val="32"/>
    <w:rPr>
      <w:b/>
      <w:bCs/>
      <w:smallCaps/>
      <w:color w:val="104862" w:themeColor="accent1" w:themeShade="BF"/>
      <w:spacing w:val="5"/>
    </w:rPr>
  </w:style>
  <w:style w:type="paragraph" w:customStyle="1" w:styleId="36">
    <w:name w:val="western"/>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2990</Words>
  <Characters>3049</Characters>
  <Lines>75</Lines>
  <Paragraphs>68</Paragraphs>
  <TotalTime>0</TotalTime>
  <ScaleCrop>false</ScaleCrop>
  <LinksUpToDate>false</LinksUpToDate>
  <CharactersWithSpaces>3050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2026-03-09T11:58:00Z</dcterms:created>
  <dc:creator>永乐 李</dc:creator>
  <cp:lastModifiedBy>灵灵</cp:lastModifiedBy>
  <dcterms:modified xsi:type="dcterms:W3CDTF">2026-10-21T09:58:10Z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eyJoZGlkIjoiNzRjNjBhOGU3ZTc5OWM0ZGEyMTM4ODNjODM0NWE0ZGQiLCJ1c2VySWQiOiI0OTA3MDkzODMifQ==</vt:lpwstr>
  </property>
  <property fmtid="{D5CDD505-2E9C-101B-9397-08002B2CF9AE}" pid="3" name="KSOProductBuildVer">
    <vt:lpwstr>2052-12.1.0.28802</vt:lpwstr>
  </property>
  <property fmtid="{D5CDD505-2E9C-101B-9397-08002B2CF9AE}" pid="4" name="ICV">
    <vt:lpwstr>185D5751A9204F9DA9A09074477FB590_12</vt:lpwstr>
  </property>
</Properties>
</file>