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6D769">
      <w:pPr>
        <w:spacing w:after="0" w:line="360" w:lineRule="auto"/>
        <w:jc w:val="center"/>
        <w:rPr>
          <w:rFonts w:hint="eastAsia" w:ascii="仿宋" w:hAnsi="仿宋" w:eastAsia="仿宋" w:cs="方正小标宋简体"/>
          <w:b/>
          <w:bCs/>
          <w:sz w:val="44"/>
          <w:szCs w:val="44"/>
          <w14:ligatures w14:val="none"/>
        </w:rPr>
      </w:pPr>
      <w:r>
        <w:rPr>
          <w:rFonts w:hint="eastAsia" w:ascii="仿宋" w:hAnsi="仿宋" w:eastAsia="仿宋" w:cs="方正小标宋简体"/>
          <w:b/>
          <w:bCs/>
          <w:sz w:val="44"/>
          <w:szCs w:val="44"/>
          <w14:ligatures w14:val="none"/>
        </w:rPr>
        <w:t>江苏师范大学数学教师跨学科智能教学</w:t>
      </w:r>
    </w:p>
    <w:p w14:paraId="263B971D">
      <w:pPr>
        <w:spacing w:after="0" w:line="360" w:lineRule="auto"/>
        <w:jc w:val="center"/>
        <w:rPr>
          <w:rFonts w:hint="eastAsia" w:ascii="仿宋" w:hAnsi="仿宋" w:eastAsia="仿宋" w:cs="方正小标宋简体"/>
          <w:b/>
          <w:bCs/>
          <w:sz w:val="44"/>
          <w:szCs w:val="44"/>
          <w14:ligatures w14:val="none"/>
        </w:rPr>
      </w:pPr>
      <w:r>
        <w:rPr>
          <w:rFonts w:hint="eastAsia" w:ascii="仿宋" w:hAnsi="仿宋" w:eastAsia="仿宋" w:cs="方正小标宋简体"/>
          <w:b/>
          <w:bCs/>
          <w:sz w:val="44"/>
          <w:szCs w:val="44"/>
          <w14:ligatures w14:val="none"/>
        </w:rPr>
        <w:t>训练与实践微专业2</w:t>
      </w:r>
      <w:r>
        <w:rPr>
          <w:rFonts w:ascii="仿宋" w:hAnsi="仿宋" w:eastAsia="仿宋" w:cs="方正小标宋简体"/>
          <w:b/>
          <w:bCs/>
          <w:sz w:val="44"/>
          <w:szCs w:val="44"/>
          <w14:ligatures w14:val="none"/>
        </w:rPr>
        <w:t>026</w:t>
      </w:r>
      <w:r>
        <w:rPr>
          <w:rFonts w:hint="eastAsia" w:ascii="仿宋" w:hAnsi="仿宋" w:eastAsia="仿宋" w:cs="方正小标宋简体"/>
          <w:b/>
          <w:bCs/>
          <w:sz w:val="44"/>
          <w:szCs w:val="44"/>
          <w14:ligatures w14:val="none"/>
        </w:rPr>
        <w:t>年</w:t>
      </w:r>
      <w:r>
        <w:rPr>
          <w:rFonts w:hint="eastAsia" w:ascii="仿宋" w:hAnsi="仿宋" w:eastAsia="仿宋" w:cs="方正小标宋简体"/>
          <w:b/>
          <w:bCs/>
          <w:sz w:val="44"/>
          <w:szCs w:val="44"/>
          <w:lang w:val="en-US" w:eastAsia="zh-CN"/>
          <w14:ligatures w14:val="none"/>
        </w:rPr>
        <w:t>秋季</w:t>
      </w:r>
      <w:r>
        <w:rPr>
          <w:rFonts w:hint="eastAsia" w:ascii="仿宋" w:hAnsi="仿宋" w:eastAsia="仿宋" w:cs="方正小标宋简体"/>
          <w:b/>
          <w:bCs/>
          <w:sz w:val="44"/>
          <w:szCs w:val="44"/>
          <w14:ligatures w14:val="none"/>
        </w:rPr>
        <w:t>招生简章</w:t>
      </w:r>
    </w:p>
    <w:p w14:paraId="5721073B">
      <w:pPr>
        <w:spacing w:after="0" w:line="360" w:lineRule="auto"/>
        <w:rPr>
          <w:rFonts w:hint="eastAsia" w:ascii="黑体" w:hAnsi="黑体" w:eastAsia="黑体"/>
          <w:b/>
          <w:bCs/>
          <w:sz w:val="28"/>
          <w:szCs w:val="28"/>
        </w:rPr>
      </w:pPr>
      <w:r>
        <w:rPr>
          <w:rFonts w:hint="eastAsia" w:ascii="黑体" w:hAnsi="黑体" w:eastAsia="黑体"/>
          <w:b/>
          <w:bCs/>
          <w:sz w:val="28"/>
          <w:szCs w:val="28"/>
        </w:rPr>
        <w:t>一、微专业介绍</w:t>
      </w:r>
    </w:p>
    <w:p w14:paraId="291F3827">
      <w:pPr>
        <w:spacing w:after="0" w:line="360" w:lineRule="auto"/>
        <w:ind w:firstLine="480" w:firstLineChars="200"/>
        <w:rPr>
          <w:rFonts w:hint="eastAsia" w:ascii="宋体" w:hAnsi="宋体" w:eastAsia="宋体"/>
          <w:sz w:val="24"/>
        </w:rPr>
      </w:pPr>
      <w:r>
        <w:rPr>
          <w:rFonts w:hint="eastAsia" w:ascii="宋体" w:hAnsi="宋体" w:eastAsia="宋体"/>
          <w:sz w:val="24"/>
        </w:rPr>
        <w:t>数学教师跨学科智能教学训练与实践微专业立足师范院校办学特色，面向全校各专业学生，以数学文化为根基、跨学科应用为核心、智能教学实践为目标，打破数学专业理论壁垒与传统师范专业教学局限，聚焦数学文化熏陶、数学跨学科应用及中学数学智能教学实践转化，打造集</w:t>
      </w:r>
      <w:r>
        <w:rPr>
          <w:rFonts w:ascii="宋体" w:hAnsi="宋体" w:eastAsia="宋体"/>
          <w:sz w:val="24"/>
        </w:rPr>
        <w:t xml:space="preserve">文化 </w:t>
      </w:r>
      <w:r>
        <w:rPr>
          <w:rFonts w:hint="eastAsia" w:ascii="宋体" w:hAnsi="宋体" w:eastAsia="宋体"/>
          <w:sz w:val="24"/>
        </w:rPr>
        <w:t>、</w:t>
      </w:r>
      <w:r>
        <w:rPr>
          <w:rFonts w:ascii="宋体" w:hAnsi="宋体" w:eastAsia="宋体"/>
          <w:sz w:val="24"/>
        </w:rPr>
        <w:t xml:space="preserve">应用 </w:t>
      </w:r>
      <w:r>
        <w:rPr>
          <w:rFonts w:hint="eastAsia" w:ascii="宋体" w:hAnsi="宋体" w:eastAsia="宋体"/>
          <w:sz w:val="24"/>
        </w:rPr>
        <w:t>、</w:t>
      </w:r>
      <w:r>
        <w:rPr>
          <w:rFonts w:ascii="宋体" w:hAnsi="宋体" w:eastAsia="宋体"/>
          <w:sz w:val="24"/>
        </w:rPr>
        <w:t>教学</w:t>
      </w:r>
      <w:r>
        <w:rPr>
          <w:rFonts w:hint="eastAsia" w:ascii="宋体" w:hAnsi="宋体" w:eastAsia="宋体"/>
          <w:sz w:val="24"/>
        </w:rPr>
        <w:t>为</w:t>
      </w:r>
      <w:r>
        <w:rPr>
          <w:rFonts w:ascii="宋体" w:hAnsi="宋体" w:eastAsia="宋体"/>
          <w:sz w:val="24"/>
        </w:rPr>
        <w:t>一体的复合型能力培养体系。</w:t>
      </w:r>
    </w:p>
    <w:p w14:paraId="2DBA0237">
      <w:pPr>
        <w:spacing w:after="0" w:line="360" w:lineRule="auto"/>
        <w:ind w:firstLine="480" w:firstLineChars="200"/>
        <w:rPr>
          <w:rFonts w:hint="eastAsia" w:ascii="宋体" w:hAnsi="宋体" w:eastAsia="宋体"/>
          <w:sz w:val="24"/>
        </w:rPr>
      </w:pPr>
      <w:r>
        <w:rPr>
          <w:rFonts w:hint="eastAsia" w:ascii="宋体" w:hAnsi="宋体" w:eastAsia="宋体"/>
          <w:sz w:val="24"/>
        </w:rPr>
        <w:t>本微专业学制灵活、课程精炼、实践导向鲜明，适合非数学、非师范专业学生的学习基础，助力学生拓展学科视野、提升应用技能与教学素养，提升跨专业跨学科就业能力。</w:t>
      </w:r>
    </w:p>
    <w:p w14:paraId="53F3CDD9">
      <w:pPr>
        <w:spacing w:after="0" w:line="360" w:lineRule="auto"/>
        <w:rPr>
          <w:rFonts w:hint="eastAsia" w:ascii="黑体" w:hAnsi="黑体" w:eastAsia="黑体"/>
          <w:b/>
          <w:bCs/>
          <w:sz w:val="28"/>
          <w:szCs w:val="28"/>
        </w:rPr>
      </w:pPr>
      <w:r>
        <w:rPr>
          <w:rFonts w:hint="eastAsia" w:ascii="黑体" w:hAnsi="黑体" w:eastAsia="黑体"/>
          <w:b/>
          <w:bCs/>
          <w:sz w:val="28"/>
          <w:szCs w:val="28"/>
        </w:rPr>
        <w:t>二、培养目标</w:t>
      </w:r>
    </w:p>
    <w:p w14:paraId="4B2CDDD1">
      <w:pPr>
        <w:spacing w:after="0" w:line="360" w:lineRule="auto"/>
        <w:rPr>
          <w:rFonts w:hint="eastAsia" w:ascii="黑体" w:hAnsi="黑体" w:eastAsia="黑体"/>
          <w:sz w:val="24"/>
        </w:rPr>
      </w:pPr>
      <w:r>
        <w:rPr>
          <w:rFonts w:hint="eastAsia" w:ascii="黑体" w:hAnsi="黑体" w:eastAsia="黑体"/>
          <w:b/>
          <w:bCs/>
          <w:sz w:val="24"/>
        </w:rPr>
        <w:t>（一）培养方向</w:t>
      </w:r>
    </w:p>
    <w:p w14:paraId="1346688E">
      <w:pPr>
        <w:spacing w:after="0" w:line="360" w:lineRule="auto"/>
        <w:ind w:firstLine="480" w:firstLineChars="200"/>
        <w:rPr>
          <w:rFonts w:hint="eastAsia" w:ascii="宋体" w:hAnsi="宋体" w:eastAsia="宋体"/>
          <w:sz w:val="24"/>
        </w:rPr>
      </w:pPr>
      <w:r>
        <w:rPr>
          <w:rFonts w:hint="eastAsia" w:ascii="宋体" w:hAnsi="宋体" w:eastAsia="宋体"/>
          <w:sz w:val="24"/>
        </w:rPr>
        <w:t>培养具备深厚数学文化素养、扎实数学应用能力、规范教学实践技能的复合型人才，能满足数学科普传播、中学数学教学、跨学科创新、数学建模实践人工智能教学等岗位要求，为学生升学深造、就业择业提供多元支撑。</w:t>
      </w:r>
    </w:p>
    <w:p w14:paraId="0F25C9F5">
      <w:pPr>
        <w:spacing w:after="0" w:line="360" w:lineRule="auto"/>
        <w:rPr>
          <w:rFonts w:hint="eastAsia" w:ascii="黑体" w:hAnsi="黑体" w:eastAsia="黑体"/>
          <w:b/>
          <w:bCs/>
          <w:sz w:val="24"/>
        </w:rPr>
      </w:pPr>
      <w:r>
        <w:rPr>
          <w:rFonts w:hint="eastAsia" w:ascii="黑体" w:hAnsi="黑体" w:eastAsia="黑体"/>
          <w:b/>
          <w:bCs/>
          <w:sz w:val="24"/>
        </w:rPr>
        <w:t>（二）培养模式</w:t>
      </w:r>
    </w:p>
    <w:p w14:paraId="37C18296">
      <w:pPr>
        <w:spacing w:after="0" w:line="360" w:lineRule="auto"/>
        <w:rPr>
          <w:rFonts w:hint="eastAsia" w:ascii="黑体" w:hAnsi="黑体" w:eastAsia="黑体"/>
          <w:b/>
          <w:bCs/>
          <w:sz w:val="24"/>
        </w:rPr>
      </w:pPr>
      <w:r>
        <w:rPr>
          <w:rFonts w:ascii="黑体" w:hAnsi="黑体" w:eastAsia="黑体"/>
          <w:b/>
          <w:bCs/>
          <w:sz w:val="24"/>
        </w:rPr>
        <w:t>1.</w:t>
      </w:r>
      <w:r>
        <w:rPr>
          <w:rFonts w:ascii="Calibri" w:hAnsi="Calibri" w:eastAsia="黑体" w:cs="Calibri"/>
          <w:b/>
          <w:bCs/>
          <w:sz w:val="24"/>
        </w:rPr>
        <w:t> </w:t>
      </w:r>
      <w:r>
        <w:rPr>
          <w:rFonts w:hint="eastAsia" w:ascii="黑体" w:hAnsi="黑体" w:eastAsia="黑体"/>
          <w:b/>
          <w:bCs/>
          <w:sz w:val="24"/>
        </w:rPr>
        <w:t>课程设计</w:t>
      </w:r>
    </w:p>
    <w:p w14:paraId="15BB9261">
      <w:pPr>
        <w:spacing w:after="0" w:line="360" w:lineRule="auto"/>
        <w:ind w:firstLine="480" w:firstLineChars="200"/>
        <w:rPr>
          <w:rFonts w:hint="eastAsia" w:ascii="宋体" w:hAnsi="宋体" w:eastAsia="宋体"/>
          <w:sz w:val="24"/>
        </w:rPr>
      </w:pPr>
      <w:r>
        <w:rPr>
          <w:rFonts w:hint="eastAsia" w:ascii="宋体" w:hAnsi="宋体" w:eastAsia="宋体"/>
          <w:sz w:val="24"/>
        </w:rPr>
        <w:t>本微专业课程体系遵循“文化筑基→跨学科应用→教学落地”的递进逻辑，共设置3大模块、</w:t>
      </w:r>
      <w:r>
        <w:rPr>
          <w:rFonts w:ascii="宋体" w:hAnsi="宋体" w:eastAsia="宋体"/>
          <w:sz w:val="24"/>
        </w:rPr>
        <w:t>4门核心课程，形成兼具逻辑性、实践性与特色性的课程体系。</w:t>
      </w:r>
      <w:r>
        <w:rPr>
          <w:rFonts w:hint="eastAsia" w:ascii="宋体" w:hAnsi="宋体" w:eastAsia="宋体"/>
          <w:sz w:val="24"/>
        </w:rPr>
        <w:t>文化筑基模块主要夯实数学文化，形成中学数学内容的基底背景；跨学科应用模块通过数学建模和跨学科智能素养课程强化各学科综合实操与创意转化能力；教学落地模块聚焦中学数学教学设计与跨学科智能教学实践落地。</w:t>
      </w:r>
    </w:p>
    <w:p w14:paraId="57EB5D91">
      <w:pPr>
        <w:spacing w:after="0" w:line="360" w:lineRule="auto"/>
        <w:rPr>
          <w:rFonts w:hint="eastAsia" w:ascii="黑体" w:hAnsi="黑体" w:eastAsia="黑体"/>
          <w:b/>
          <w:bCs/>
          <w:sz w:val="24"/>
        </w:rPr>
      </w:pPr>
      <w:r>
        <w:rPr>
          <w:rFonts w:ascii="黑体" w:hAnsi="黑体" w:eastAsia="黑体"/>
          <w:b/>
          <w:bCs/>
          <w:sz w:val="24"/>
        </w:rPr>
        <w:t>2.</w:t>
      </w:r>
      <w:r>
        <w:rPr>
          <w:rFonts w:hint="eastAsia" w:ascii="黑体" w:hAnsi="黑体" w:eastAsia="黑体"/>
          <w:b/>
          <w:bCs/>
          <w:sz w:val="24"/>
        </w:rPr>
        <w:t>课程实施</w:t>
      </w:r>
    </w:p>
    <w:p w14:paraId="7B7164B4">
      <w:pPr>
        <w:spacing w:after="0" w:line="360" w:lineRule="auto"/>
        <w:ind w:firstLine="480" w:firstLineChars="200"/>
        <w:rPr>
          <w:rFonts w:hint="eastAsia" w:ascii="宋体" w:hAnsi="宋体" w:eastAsia="宋体"/>
          <w:sz w:val="24"/>
        </w:rPr>
      </w:pPr>
      <w:r>
        <w:rPr>
          <w:rFonts w:ascii="宋体" w:hAnsi="宋体" w:eastAsia="宋体"/>
          <w:sz w:val="24"/>
        </w:rPr>
        <w:t>教学采用理论讲授、案例研讨、工作坊实操、微格演练、中学场景实训相结合的方式，弱化纯理论推导，强化动手实践与场景应用，让学生真正</w:t>
      </w:r>
      <w:r>
        <w:rPr>
          <w:rFonts w:hint="eastAsia" w:ascii="宋体" w:hAnsi="宋体" w:eastAsia="宋体"/>
          <w:sz w:val="24"/>
        </w:rPr>
        <w:t>形成</w:t>
      </w:r>
      <w:r>
        <w:rPr>
          <w:rFonts w:ascii="宋体" w:hAnsi="宋体" w:eastAsia="宋体"/>
          <w:sz w:val="24"/>
        </w:rPr>
        <w:t>懂数学、用数学、会教数学</w:t>
      </w:r>
      <w:r>
        <w:rPr>
          <w:rFonts w:hint="eastAsia" w:ascii="宋体" w:hAnsi="宋体" w:eastAsia="宋体"/>
          <w:sz w:val="24"/>
        </w:rPr>
        <w:t>的综合素养</w:t>
      </w:r>
      <w:r>
        <w:rPr>
          <w:rFonts w:ascii="宋体" w:hAnsi="宋体" w:eastAsia="宋体"/>
          <w:sz w:val="24"/>
        </w:rPr>
        <w:t>。</w:t>
      </w:r>
    </w:p>
    <w:p w14:paraId="48315636">
      <w:pPr>
        <w:spacing w:after="0" w:line="360" w:lineRule="auto"/>
        <w:rPr>
          <w:rFonts w:hint="eastAsia" w:ascii="黑体" w:hAnsi="黑体" w:eastAsia="黑体"/>
          <w:b/>
          <w:bCs/>
          <w:sz w:val="24"/>
        </w:rPr>
      </w:pPr>
      <w:r>
        <w:rPr>
          <w:rFonts w:hint="eastAsia" w:ascii="黑体" w:hAnsi="黑体" w:eastAsia="黑体"/>
          <w:b/>
          <w:bCs/>
          <w:sz w:val="24"/>
        </w:rPr>
        <w:t>（三）培养要求</w:t>
      </w:r>
    </w:p>
    <w:p w14:paraId="27C5232B">
      <w:pPr>
        <w:spacing w:after="0" w:line="360" w:lineRule="auto"/>
        <w:ind w:firstLine="480" w:firstLineChars="200"/>
        <w:rPr>
          <w:rFonts w:hint="eastAsia" w:ascii="宋体" w:hAnsi="宋体" w:eastAsia="宋体"/>
          <w:sz w:val="24"/>
        </w:rPr>
      </w:pPr>
      <w:r>
        <w:rPr>
          <w:rFonts w:hint="eastAsia" w:ascii="宋体" w:hAnsi="宋体" w:eastAsia="宋体"/>
          <w:sz w:val="24"/>
        </w:rPr>
        <w:t>学生需通过学习高观点下的中学数学、数学方法论、数学微格教学、数学教师人工智能素养与训练4门课程，把握数学本质、数学精神和数学思想，理解高等数学与中学数学的内在关联，具备数学文化解读与智能传播能力；熟练掌握数学发现、论证、建模基本流程与常用方法，能借助工具完成实际问题的模型构建与求解，具备跨学科数学应用能力；掌握中学数学教学设计、教案撰写、课堂表达、板书设计、互动组织等教学技能，能规范完成教学片段实操；同时具备良好的科学素养、创新思维与团队协作能力，能够将数学知识与跨学科场景有效融合，胜任数学科普与中学数学跨学科智能教学相关工作。</w:t>
      </w:r>
    </w:p>
    <w:p w14:paraId="50E30262">
      <w:pPr>
        <w:spacing w:after="0" w:line="360" w:lineRule="auto"/>
        <w:rPr>
          <w:rFonts w:hint="eastAsia" w:ascii="黑体" w:hAnsi="黑体" w:eastAsia="黑体"/>
          <w:b/>
          <w:bCs/>
          <w:sz w:val="28"/>
          <w:szCs w:val="28"/>
        </w:rPr>
      </w:pPr>
      <w:r>
        <w:rPr>
          <w:rFonts w:hint="eastAsia" w:ascii="黑体" w:hAnsi="黑体" w:eastAsia="黑体"/>
          <w:b/>
          <w:bCs/>
          <w:sz w:val="28"/>
          <w:szCs w:val="28"/>
        </w:rPr>
        <w:t>三、专业特色</w:t>
      </w:r>
    </w:p>
    <w:p w14:paraId="2FDF5AAB">
      <w:pPr>
        <w:spacing w:after="0" w:line="360" w:lineRule="auto"/>
        <w:ind w:firstLine="482" w:firstLineChars="200"/>
        <w:rPr>
          <w:rFonts w:hint="eastAsia" w:ascii="黑体" w:hAnsi="黑体" w:eastAsia="黑体"/>
          <w:b/>
          <w:bCs/>
          <w:sz w:val="24"/>
        </w:rPr>
      </w:pPr>
      <w:r>
        <w:rPr>
          <w:rFonts w:hint="eastAsia" w:ascii="黑体" w:hAnsi="黑体" w:eastAsia="黑体"/>
          <w:b/>
          <w:bCs/>
          <w:sz w:val="24"/>
        </w:rPr>
        <w:t>特色一：递进式课程体系，降低入门难度，强调实用效果</w:t>
      </w:r>
    </w:p>
    <w:p w14:paraId="26A62FA2">
      <w:pPr>
        <w:spacing w:after="0" w:line="360" w:lineRule="auto"/>
        <w:ind w:firstLine="480" w:firstLineChars="200"/>
        <w:rPr>
          <w:rFonts w:hint="eastAsia" w:ascii="宋体" w:hAnsi="宋体" w:eastAsia="宋体"/>
          <w:sz w:val="24"/>
        </w:rPr>
      </w:pPr>
      <w:r>
        <w:rPr>
          <w:rFonts w:hint="eastAsia" w:ascii="宋体" w:hAnsi="宋体" w:eastAsia="宋体"/>
          <w:sz w:val="24"/>
        </w:rPr>
        <w:t>按</w:t>
      </w:r>
      <w:r>
        <w:rPr>
          <w:rFonts w:ascii="宋体" w:hAnsi="宋体" w:eastAsia="宋体"/>
          <w:sz w:val="24"/>
        </w:rPr>
        <w:t xml:space="preserve"> “文化→应用→教学” 阶梯排布课程，</w:t>
      </w:r>
      <w:r>
        <w:rPr>
          <w:rFonts w:hint="eastAsia" w:ascii="宋体" w:hAnsi="宋体" w:eastAsia="宋体"/>
          <w:sz w:val="24"/>
        </w:rPr>
        <w:t>先激发数学兴趣，后体会数学应用价值，最后完成教学素养的提升。</w:t>
      </w:r>
    </w:p>
    <w:p w14:paraId="507E27B4">
      <w:pPr>
        <w:spacing w:after="0" w:line="360" w:lineRule="auto"/>
        <w:ind w:firstLine="482" w:firstLineChars="200"/>
        <w:rPr>
          <w:rFonts w:hint="eastAsia" w:ascii="黑体" w:hAnsi="黑体" w:eastAsia="黑体"/>
          <w:b/>
          <w:bCs/>
          <w:sz w:val="24"/>
        </w:rPr>
      </w:pPr>
      <w:r>
        <w:rPr>
          <w:rFonts w:hint="eastAsia" w:ascii="黑体" w:hAnsi="黑体" w:eastAsia="黑体"/>
          <w:b/>
          <w:bCs/>
          <w:sz w:val="24"/>
        </w:rPr>
        <w:t>特色二：推进跨学科深度融合，精准补充中学教师人才缺口</w:t>
      </w:r>
    </w:p>
    <w:p w14:paraId="12C5F3AB">
      <w:pPr>
        <w:spacing w:after="0" w:line="360" w:lineRule="auto"/>
        <w:ind w:firstLine="480" w:firstLineChars="200"/>
        <w:rPr>
          <w:rFonts w:hint="eastAsia" w:ascii="宋体" w:hAnsi="宋体" w:eastAsia="宋体"/>
          <w:sz w:val="24"/>
        </w:rPr>
      </w:pPr>
      <w:r>
        <w:rPr>
          <w:rFonts w:hint="eastAsia" w:ascii="宋体" w:hAnsi="宋体" w:eastAsia="宋体"/>
          <w:sz w:val="24"/>
        </w:rPr>
        <w:t>打破学科边界，融合数学与物理、地理、艺术、计算机、教育学等领域，强化跨学科应用能力和人工智能素养。</w:t>
      </w:r>
    </w:p>
    <w:p w14:paraId="4F21A157">
      <w:pPr>
        <w:spacing w:after="0" w:line="360" w:lineRule="auto"/>
        <w:ind w:firstLine="482" w:firstLineChars="200"/>
        <w:rPr>
          <w:rFonts w:hint="eastAsia" w:ascii="黑体" w:hAnsi="黑体" w:eastAsia="黑体"/>
          <w:b/>
          <w:bCs/>
          <w:sz w:val="24"/>
        </w:rPr>
      </w:pPr>
      <w:r>
        <w:rPr>
          <w:rFonts w:hint="eastAsia" w:ascii="黑体" w:hAnsi="黑体" w:eastAsia="黑体"/>
          <w:b/>
          <w:bCs/>
          <w:sz w:val="24"/>
        </w:rPr>
        <w:t>特色三：坚持实践型培养导向，全面强化能力落地应用</w:t>
      </w:r>
    </w:p>
    <w:p w14:paraId="5837659D">
      <w:pPr>
        <w:spacing w:after="0" w:line="360" w:lineRule="auto"/>
        <w:ind w:firstLine="480" w:firstLineChars="200"/>
        <w:rPr>
          <w:rFonts w:hint="eastAsia" w:ascii="宋体" w:hAnsi="宋体" w:eastAsia="宋体"/>
          <w:sz w:val="24"/>
        </w:rPr>
      </w:pPr>
      <w:r>
        <w:rPr>
          <w:rFonts w:hint="eastAsia" w:ascii="宋体" w:hAnsi="宋体" w:eastAsia="宋体"/>
          <w:sz w:val="24"/>
        </w:rPr>
        <w:t>全课程突出实操训练，覆盖文化传播、建模实操、教学设计、课堂授课全环节，知识可落地、能应用。</w:t>
      </w:r>
    </w:p>
    <w:p w14:paraId="60421E29">
      <w:pPr>
        <w:spacing w:after="0" w:line="360" w:lineRule="auto"/>
        <w:ind w:firstLine="482" w:firstLineChars="200"/>
        <w:rPr>
          <w:rFonts w:hint="eastAsia" w:ascii="黑体" w:hAnsi="黑体" w:eastAsia="黑体"/>
          <w:b/>
          <w:bCs/>
          <w:sz w:val="24"/>
        </w:rPr>
      </w:pPr>
      <w:r>
        <w:rPr>
          <w:rFonts w:hint="eastAsia" w:ascii="黑体" w:hAnsi="黑体" w:eastAsia="黑体"/>
          <w:b/>
          <w:bCs/>
          <w:sz w:val="24"/>
        </w:rPr>
        <w:t>特色四：打造差异化培养定位，显著提升学生就业竞争优势</w:t>
      </w:r>
    </w:p>
    <w:p w14:paraId="638BFAD6">
      <w:pPr>
        <w:spacing w:after="0" w:line="360" w:lineRule="auto"/>
        <w:ind w:firstLine="480" w:firstLineChars="200"/>
        <w:rPr>
          <w:rFonts w:hint="eastAsia" w:ascii="宋体" w:hAnsi="宋体" w:eastAsia="宋体"/>
          <w:sz w:val="24"/>
        </w:rPr>
      </w:pPr>
      <w:r>
        <w:rPr>
          <w:rFonts w:hint="eastAsia" w:ascii="宋体" w:hAnsi="宋体" w:eastAsia="宋体"/>
          <w:sz w:val="24"/>
        </w:rPr>
        <w:t>区别于数学学科专业与传统师范专业，发挥微专业学生原专业与数学专业相结合的优势，聚焦复合型能力培养，就业升学竞争力更强。</w:t>
      </w:r>
    </w:p>
    <w:p w14:paraId="0C22CBD2">
      <w:pPr>
        <w:spacing w:after="0" w:line="360" w:lineRule="auto"/>
        <w:rPr>
          <w:rFonts w:hint="eastAsia" w:ascii="黑体" w:hAnsi="黑体" w:eastAsia="黑体"/>
          <w:b/>
          <w:bCs/>
          <w:sz w:val="28"/>
          <w:szCs w:val="28"/>
        </w:rPr>
      </w:pPr>
      <w:r>
        <w:rPr>
          <w:rFonts w:hint="eastAsia" w:ascii="黑体" w:hAnsi="黑体" w:eastAsia="黑体"/>
          <w:b/>
          <w:bCs/>
          <w:sz w:val="28"/>
          <w:szCs w:val="28"/>
        </w:rPr>
        <w:t>四、资源保障</w:t>
      </w:r>
    </w:p>
    <w:p w14:paraId="2DF1F63B">
      <w:pPr>
        <w:spacing w:after="0" w:line="360" w:lineRule="auto"/>
        <w:rPr>
          <w:rFonts w:hint="eastAsia" w:ascii="黑体" w:hAnsi="黑体" w:eastAsia="黑体"/>
          <w:b/>
          <w:bCs/>
          <w:sz w:val="24"/>
        </w:rPr>
      </w:pPr>
      <w:r>
        <w:rPr>
          <w:rFonts w:hint="eastAsia" w:ascii="黑体" w:hAnsi="黑体" w:eastAsia="黑体"/>
          <w:b/>
          <w:bCs/>
          <w:sz w:val="24"/>
        </w:rPr>
        <w:t>（一）教学团队</w:t>
      </w:r>
    </w:p>
    <w:p w14:paraId="367FFF17">
      <w:pPr>
        <w:spacing w:after="0" w:line="360" w:lineRule="auto"/>
        <w:ind w:firstLine="480" w:firstLineChars="200"/>
        <w:rPr>
          <w:rFonts w:hint="eastAsia" w:ascii="宋体" w:hAnsi="宋体" w:eastAsia="宋体"/>
          <w:sz w:val="24"/>
        </w:rPr>
      </w:pPr>
      <w:r>
        <w:rPr>
          <w:rFonts w:hint="eastAsia" w:ascii="宋体" w:hAnsi="宋体" w:eastAsia="宋体"/>
          <w:sz w:val="24"/>
        </w:rPr>
        <w:t>本微专业拥有一支由深谙中学数学教学的数学教育专家和拥有多年数学建模竞赛经验的应用数学专家教师组成教学团队，他们不仅有本专业扎实的科研和竞赛成果做基础，更有丰富的实践和智能教学经验作保障，能够为学生提供优质的教学与指导。</w:t>
      </w:r>
    </w:p>
    <w:p w14:paraId="6769DE09">
      <w:pPr>
        <w:spacing w:after="0" w:line="360" w:lineRule="auto"/>
        <w:rPr>
          <w:rFonts w:hint="eastAsia" w:ascii="黑体" w:hAnsi="黑体" w:eastAsia="黑体"/>
          <w:b/>
          <w:bCs/>
          <w:sz w:val="24"/>
        </w:rPr>
      </w:pPr>
      <w:r>
        <w:rPr>
          <w:rFonts w:hint="eastAsia" w:ascii="黑体" w:hAnsi="黑体" w:eastAsia="黑体"/>
          <w:b/>
          <w:bCs/>
          <w:sz w:val="24"/>
        </w:rPr>
        <w:t>（二）课程资源</w:t>
      </w:r>
    </w:p>
    <w:p w14:paraId="6377E073">
      <w:pPr>
        <w:spacing w:after="0" w:line="360" w:lineRule="auto"/>
        <w:ind w:firstLine="480" w:firstLineChars="200"/>
        <w:rPr>
          <w:rFonts w:hint="eastAsia" w:ascii="宋体" w:hAnsi="宋体" w:eastAsia="宋体"/>
          <w:sz w:val="24"/>
        </w:rPr>
      </w:pPr>
      <w:r>
        <w:rPr>
          <w:rFonts w:hint="eastAsia" w:ascii="宋体" w:hAnsi="宋体" w:eastAsia="宋体"/>
          <w:sz w:val="24"/>
        </w:rPr>
        <w:t>本微专业所有课程已在数统学院开设多年，是从众多课程中精挑细选出来，具有典型性和前沿发展性的课程，不仅提供多年积累的经典教材、讲义、师范生获奖教学视频、中小学一线创意作品视频、建模工具软件等等资源，而且重视引导学生充分利用学校图书馆、智能教学资源进行自主学习和创新实践。学院定期举办学术讲座、研讨会等活动，邀请国内外知名专家来校讲学交流，为微专业学生提供与各行业领军人才面对面学习的机会和平台。</w:t>
      </w:r>
    </w:p>
    <w:p w14:paraId="08EA8C2C">
      <w:pPr>
        <w:spacing w:after="0" w:line="360" w:lineRule="auto"/>
        <w:rPr>
          <w:rFonts w:hint="eastAsia" w:ascii="黑体" w:hAnsi="黑体" w:eastAsia="黑体"/>
          <w:b/>
          <w:bCs/>
          <w:sz w:val="28"/>
          <w:szCs w:val="28"/>
        </w:rPr>
      </w:pPr>
      <w:r>
        <w:rPr>
          <w:rFonts w:hint="eastAsia" w:ascii="黑体" w:hAnsi="黑体" w:eastAsia="黑体"/>
          <w:b/>
          <w:bCs/>
          <w:sz w:val="28"/>
          <w:szCs w:val="28"/>
        </w:rPr>
        <w:t>五、招生对象及条件</w:t>
      </w:r>
    </w:p>
    <w:p w14:paraId="29103925">
      <w:pPr>
        <w:spacing w:after="0" w:line="360" w:lineRule="auto"/>
        <w:rPr>
          <w:rFonts w:hint="eastAsia" w:ascii="黑体" w:hAnsi="黑体" w:eastAsia="黑体"/>
          <w:b/>
          <w:bCs/>
          <w:sz w:val="24"/>
        </w:rPr>
      </w:pPr>
      <w:r>
        <w:rPr>
          <w:rFonts w:hint="eastAsia" w:ascii="黑体" w:hAnsi="黑体" w:eastAsia="黑体"/>
          <w:b/>
          <w:bCs/>
          <w:sz w:val="24"/>
        </w:rPr>
        <w:t>（一）招生对象</w:t>
      </w:r>
    </w:p>
    <w:p w14:paraId="6E6D0D04">
      <w:pPr>
        <w:spacing w:after="0" w:line="360" w:lineRule="auto"/>
        <w:ind w:firstLine="480" w:firstLineChars="200"/>
        <w:rPr>
          <w:rFonts w:hint="eastAsia" w:ascii="宋体" w:hAnsi="宋体" w:eastAsia="宋体"/>
          <w:sz w:val="24"/>
        </w:rPr>
      </w:pPr>
      <w:r>
        <w:rPr>
          <w:rFonts w:hint="eastAsia" w:ascii="宋体" w:hAnsi="宋体" w:eastAsia="宋体"/>
          <w:sz w:val="24"/>
        </w:rPr>
        <w:t>全校各专业对数学及人工智能赋能的教学实践感兴趣的学生均可报名。</w:t>
      </w:r>
    </w:p>
    <w:p w14:paraId="689944B7">
      <w:pPr>
        <w:spacing w:after="0" w:line="360" w:lineRule="auto"/>
        <w:rPr>
          <w:rFonts w:hint="eastAsia" w:ascii="黑体" w:hAnsi="黑体" w:eastAsia="黑体"/>
          <w:b/>
          <w:bCs/>
          <w:sz w:val="24"/>
        </w:rPr>
      </w:pPr>
      <w:r>
        <w:rPr>
          <w:rFonts w:hint="eastAsia" w:ascii="黑体" w:hAnsi="黑体" w:eastAsia="黑体"/>
          <w:b/>
          <w:bCs/>
          <w:sz w:val="24"/>
        </w:rPr>
        <w:t>（二）计划招生人数</w:t>
      </w:r>
    </w:p>
    <w:p w14:paraId="5AEE20D5">
      <w:pPr>
        <w:spacing w:after="0" w:line="360" w:lineRule="auto"/>
        <w:ind w:firstLine="480" w:firstLineChars="200"/>
        <w:rPr>
          <w:rFonts w:hint="eastAsia" w:ascii="宋体" w:hAnsi="宋体" w:eastAsia="宋体"/>
          <w:sz w:val="24"/>
        </w:rPr>
      </w:pPr>
      <w:r>
        <w:rPr>
          <w:rFonts w:hint="eastAsia" w:ascii="宋体" w:hAnsi="宋体" w:eastAsia="宋体"/>
          <w:sz w:val="24"/>
        </w:rPr>
        <w:t>计划招生5</w:t>
      </w:r>
      <w:r>
        <w:rPr>
          <w:rFonts w:ascii="宋体" w:hAnsi="宋体" w:eastAsia="宋体"/>
          <w:sz w:val="24"/>
        </w:rPr>
        <w:t>0 人，额满即止。</w:t>
      </w:r>
    </w:p>
    <w:p w14:paraId="7C6E6AFC">
      <w:pPr>
        <w:spacing w:after="0" w:line="360" w:lineRule="auto"/>
        <w:rPr>
          <w:rFonts w:hint="eastAsia"/>
          <w:b/>
          <w:bCs/>
        </w:rPr>
      </w:pPr>
      <w:r>
        <w:rPr>
          <w:rFonts w:hint="eastAsia" w:ascii="黑体" w:hAnsi="黑体" w:eastAsia="黑体"/>
          <w:b/>
          <w:bCs/>
          <w:sz w:val="24"/>
        </w:rPr>
        <w:t>（三）学制、学分</w:t>
      </w:r>
    </w:p>
    <w:p w14:paraId="330B3D0F">
      <w:pPr>
        <w:spacing w:after="0" w:line="360" w:lineRule="auto"/>
        <w:ind w:firstLine="480" w:firstLineChars="200"/>
        <w:rPr>
          <w:rFonts w:hint="eastAsia" w:ascii="宋体" w:hAnsi="宋体" w:eastAsia="宋体"/>
          <w:sz w:val="24"/>
        </w:rPr>
      </w:pPr>
      <w:r>
        <w:rPr>
          <w:rFonts w:ascii="宋体" w:hAnsi="宋体" w:eastAsia="宋体"/>
          <w:sz w:val="24"/>
        </w:rPr>
        <w:t>学制为1年，在主修专业的有效年限内完成。总学分数为12学分，总学时数为192学时。</w:t>
      </w:r>
    </w:p>
    <w:p w14:paraId="5132377F">
      <w:pPr>
        <w:spacing w:after="0" w:line="360" w:lineRule="auto"/>
        <w:rPr>
          <w:rFonts w:hint="eastAsia"/>
          <w:b/>
          <w:bCs/>
        </w:rPr>
      </w:pPr>
      <w:r>
        <w:rPr>
          <w:rFonts w:hint="eastAsia" w:ascii="黑体" w:hAnsi="黑体" w:eastAsia="黑体"/>
          <w:b/>
          <w:bCs/>
          <w:sz w:val="24"/>
        </w:rPr>
        <w:t>（四）收费标准</w:t>
      </w:r>
    </w:p>
    <w:p w14:paraId="0E87F52E">
      <w:pPr>
        <w:spacing w:after="0" w:line="360" w:lineRule="auto"/>
        <w:ind w:firstLine="480" w:firstLineChars="200"/>
        <w:rPr>
          <w:rFonts w:hint="eastAsia" w:ascii="宋体" w:hAnsi="宋体" w:eastAsia="宋体"/>
          <w:sz w:val="24"/>
        </w:rPr>
      </w:pPr>
      <w:r>
        <w:rPr>
          <w:rFonts w:hint="eastAsia" w:ascii="宋体" w:hAnsi="宋体" w:eastAsia="宋体"/>
          <w:sz w:val="24"/>
        </w:rPr>
        <w:t>80元/分，合计960元。</w:t>
      </w:r>
    </w:p>
    <w:p w14:paraId="10D5AAB9">
      <w:pPr>
        <w:spacing w:after="0" w:line="360" w:lineRule="auto"/>
        <w:rPr>
          <w:rFonts w:hint="eastAsia"/>
          <w:b/>
          <w:bCs/>
        </w:rPr>
      </w:pPr>
      <w:r>
        <w:rPr>
          <w:rFonts w:hint="eastAsia" w:ascii="黑体" w:hAnsi="黑体" w:eastAsia="黑体"/>
          <w:b/>
          <w:bCs/>
          <w:sz w:val="24"/>
        </w:rPr>
        <w:t>（五）授课方式</w:t>
      </w:r>
    </w:p>
    <w:p w14:paraId="700339D8">
      <w:pPr>
        <w:spacing w:after="0" w:line="360" w:lineRule="auto"/>
        <w:ind w:firstLine="480" w:firstLineChars="200"/>
        <w:rPr>
          <w:rFonts w:hint="eastAsia" w:ascii="宋体" w:hAnsi="宋体" w:eastAsia="宋体"/>
          <w:sz w:val="24"/>
        </w:rPr>
      </w:pPr>
      <w:r>
        <w:rPr>
          <w:rFonts w:hint="eastAsia" w:ascii="宋体" w:hAnsi="宋体" w:eastAsia="宋体"/>
          <w:sz w:val="24"/>
        </w:rPr>
        <w:t>本微专业独立开班授课，学制一年（两个学期），利用课余时间进行线下为主的线上线下混合式授课。</w:t>
      </w:r>
    </w:p>
    <w:p w14:paraId="46CF0DFA">
      <w:pPr>
        <w:spacing w:after="0" w:line="360" w:lineRule="auto"/>
        <w:rPr>
          <w:rFonts w:hint="eastAsia" w:ascii="黑体" w:hAnsi="黑体" w:eastAsia="黑体"/>
          <w:b/>
          <w:bCs/>
          <w:sz w:val="28"/>
          <w:szCs w:val="28"/>
        </w:rPr>
      </w:pPr>
      <w:r>
        <w:rPr>
          <w:rFonts w:hint="eastAsia" w:ascii="黑体" w:hAnsi="黑体" w:eastAsia="黑体"/>
          <w:b/>
          <w:bCs/>
          <w:sz w:val="28"/>
          <w:szCs w:val="28"/>
        </w:rPr>
        <w:t>六、学分认定与证书授予</w:t>
      </w:r>
    </w:p>
    <w:p w14:paraId="10580910">
      <w:pPr>
        <w:spacing w:after="0" w:line="360" w:lineRule="auto"/>
        <w:ind w:firstLine="480" w:firstLineChars="200"/>
        <w:jc w:val="both"/>
        <w:rPr>
          <w:rFonts w:hint="eastAsia" w:ascii="宋体" w:hAnsi="宋体" w:eastAsia="宋体"/>
          <w:sz w:val="24"/>
        </w:rPr>
      </w:pPr>
      <w:r>
        <w:rPr>
          <w:rFonts w:hint="eastAsia" w:ascii="宋体" w:hAnsi="宋体" w:eastAsia="宋体"/>
          <w:sz w:val="24"/>
        </w:rPr>
        <w:t>学生完成本微专业培养方案规定的课程并达到学习要求后，由微专业所在学院审核后提出结业名单，报教务处备案。教务处统一颁发结业证书和成绩单。</w:t>
      </w:r>
    </w:p>
    <w:p w14:paraId="4C5C7FEC">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宋体" w:hAnsi="宋体" w:eastAsia="宋体"/>
          <w:sz w:val="24"/>
        </w:rPr>
      </w:pPr>
      <w:r>
        <w:rPr>
          <w:rFonts w:hint="eastAsia" w:ascii="宋体" w:hAnsi="宋体" w:eastAsia="宋体"/>
          <w:sz w:val="24"/>
        </w:rPr>
        <w:t>需要注意的是，本微专业属于非学历教育范畴，不授予学位。</w:t>
      </w:r>
      <w:r>
        <w:rPr>
          <w:rFonts w:hint="eastAsia" w:ascii="宋体" w:hAnsi="宋体" w:eastAsia="宋体"/>
          <w:sz w:val="24"/>
          <w:lang w:eastAsia="zh-CN"/>
        </w:rPr>
        <w:t>如果</w:t>
      </w:r>
      <w:r>
        <w:rPr>
          <w:rFonts w:hint="eastAsia" w:ascii="宋体" w:hAnsi="宋体" w:eastAsia="宋体"/>
          <w:sz w:val="24"/>
          <w:lang w:val="en-US" w:eastAsia="zh-CN"/>
        </w:rPr>
        <w:t>本</w:t>
      </w:r>
      <w:r>
        <w:rPr>
          <w:rFonts w:hint="eastAsia" w:ascii="宋体" w:hAnsi="宋体" w:eastAsia="宋体"/>
          <w:sz w:val="24"/>
          <w:lang w:eastAsia="zh-CN"/>
        </w:rPr>
        <w:t>微专业成功入库教育部学信网</w:t>
      </w:r>
      <w:r>
        <w:rPr>
          <w:rFonts w:hint="eastAsia" w:ascii="宋体" w:hAnsi="宋体" w:eastAsia="宋体"/>
          <w:sz w:val="24"/>
          <w:lang w:val="en-US" w:eastAsia="zh-CN"/>
        </w:rPr>
        <w:t>获得</w:t>
      </w:r>
      <w:r>
        <w:rPr>
          <w:rFonts w:hint="eastAsia" w:ascii="宋体" w:hAnsi="宋体" w:eastAsia="宋体"/>
          <w:sz w:val="24"/>
          <w:lang w:eastAsia="zh-CN"/>
        </w:rPr>
        <w:t>备案，毕业生及用人单位可登录学信网查询相关</w:t>
      </w:r>
      <w:bookmarkStart w:id="1" w:name="_GoBack"/>
      <w:bookmarkEnd w:id="1"/>
      <w:r>
        <w:rPr>
          <w:rFonts w:hint="eastAsia" w:ascii="宋体" w:hAnsi="宋体" w:eastAsia="宋体"/>
          <w:sz w:val="24"/>
          <w:lang w:eastAsia="zh-CN"/>
        </w:rPr>
        <w:t>修读信息。</w:t>
      </w:r>
    </w:p>
    <w:p w14:paraId="70E9F05A">
      <w:pPr>
        <w:spacing w:after="0" w:line="360" w:lineRule="auto"/>
        <w:ind w:firstLine="480" w:firstLineChars="200"/>
        <w:rPr>
          <w:rFonts w:hint="eastAsia" w:ascii="宋体" w:hAnsi="宋体" w:eastAsia="宋体"/>
          <w:sz w:val="24"/>
        </w:rPr>
      </w:pPr>
    </w:p>
    <w:p w14:paraId="39F99871">
      <w:pPr>
        <w:spacing w:after="0" w:line="360" w:lineRule="auto"/>
        <w:rPr>
          <w:rFonts w:hint="eastAsia" w:ascii="黑体" w:hAnsi="黑体" w:eastAsia="黑体"/>
          <w:b/>
          <w:bCs/>
          <w:sz w:val="28"/>
          <w:szCs w:val="28"/>
        </w:rPr>
      </w:pPr>
      <w:r>
        <w:rPr>
          <w:rFonts w:hint="eastAsia" w:ascii="黑体" w:hAnsi="黑体" w:eastAsia="黑体"/>
          <w:b/>
          <w:bCs/>
          <w:sz w:val="28"/>
          <w:szCs w:val="28"/>
        </w:rPr>
        <w:t>七、微专业课程</w:t>
      </w:r>
    </w:p>
    <w:p w14:paraId="3759F248">
      <w:pPr>
        <w:spacing w:after="0" w:line="360" w:lineRule="auto"/>
        <w:rPr>
          <w:rFonts w:hint="eastAsia" w:ascii="黑体" w:hAnsi="黑体" w:eastAsia="黑体"/>
          <w:b/>
          <w:bCs/>
          <w:sz w:val="24"/>
        </w:rPr>
      </w:pPr>
      <w:r>
        <w:rPr>
          <w:rFonts w:hint="eastAsia" w:ascii="黑体" w:hAnsi="黑体" w:eastAsia="黑体"/>
          <w:b/>
          <w:bCs/>
          <w:sz w:val="24"/>
        </w:rPr>
        <w:t>（一）课程设置及学时分配表</w:t>
      </w:r>
    </w:p>
    <w:tbl>
      <w:tblPr>
        <w:tblStyle w:val="15"/>
        <w:tblW w:w="4523" w:type="pct"/>
        <w:jc w:val="center"/>
        <w:tblLayout w:type="autofit"/>
        <w:tblCellMar>
          <w:top w:w="0" w:type="dxa"/>
          <w:left w:w="0" w:type="dxa"/>
          <w:bottom w:w="0" w:type="dxa"/>
          <w:right w:w="0" w:type="dxa"/>
        </w:tblCellMar>
      </w:tblPr>
      <w:tblGrid>
        <w:gridCol w:w="798"/>
        <w:gridCol w:w="2368"/>
        <w:gridCol w:w="804"/>
        <w:gridCol w:w="804"/>
        <w:gridCol w:w="1511"/>
        <w:gridCol w:w="1234"/>
      </w:tblGrid>
      <w:tr w14:paraId="73A7E41A">
        <w:tblPrEx>
          <w:tblCellMar>
            <w:top w:w="0" w:type="dxa"/>
            <w:left w:w="0" w:type="dxa"/>
            <w:bottom w:w="0" w:type="dxa"/>
            <w:right w:w="0" w:type="dxa"/>
          </w:tblCellMar>
        </w:tblPrEx>
        <w:trPr>
          <w:trHeight w:val="521" w:hRule="atLeast"/>
          <w:jc w:val="center"/>
        </w:trPr>
        <w:tc>
          <w:tcPr>
            <w:tcW w:w="5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0B075B9">
            <w:pPr>
              <w:spacing w:after="0" w:line="360" w:lineRule="auto"/>
              <w:jc w:val="center"/>
              <w:rPr>
                <w:rFonts w:hint="eastAsia" w:ascii="宋体" w:hAnsi="宋体" w:eastAsia="宋体"/>
              </w:rPr>
            </w:pPr>
            <w:r>
              <w:rPr>
                <w:rFonts w:hint="eastAsia" w:ascii="宋体" w:hAnsi="宋体" w:eastAsia="宋体"/>
              </w:rPr>
              <w:t>序号</w:t>
            </w:r>
          </w:p>
        </w:tc>
        <w:tc>
          <w:tcPr>
            <w:tcW w:w="160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CA0EB35">
            <w:pPr>
              <w:spacing w:after="0" w:line="360" w:lineRule="auto"/>
              <w:jc w:val="center"/>
              <w:rPr>
                <w:rFonts w:hint="eastAsia" w:ascii="宋体" w:hAnsi="宋体" w:eastAsia="宋体"/>
              </w:rPr>
            </w:pPr>
            <w:r>
              <w:rPr>
                <w:rFonts w:hint="eastAsia" w:ascii="宋体" w:hAnsi="宋体" w:eastAsia="宋体"/>
              </w:rPr>
              <w:t>课程名称</w:t>
            </w:r>
          </w:p>
        </w:tc>
        <w:tc>
          <w:tcPr>
            <w:tcW w:w="56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46C4884">
            <w:pPr>
              <w:spacing w:after="0" w:line="360" w:lineRule="auto"/>
              <w:jc w:val="center"/>
              <w:rPr>
                <w:rFonts w:hint="eastAsia" w:ascii="宋体" w:hAnsi="宋体" w:eastAsia="宋体"/>
              </w:rPr>
            </w:pPr>
            <w:r>
              <w:rPr>
                <w:rFonts w:hint="eastAsia" w:ascii="宋体" w:hAnsi="宋体" w:eastAsia="宋体"/>
              </w:rPr>
              <w:t>学分</w:t>
            </w:r>
          </w:p>
        </w:tc>
        <w:tc>
          <w:tcPr>
            <w:tcW w:w="56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926B7E2">
            <w:pPr>
              <w:spacing w:after="0" w:line="360" w:lineRule="auto"/>
              <w:jc w:val="center"/>
              <w:rPr>
                <w:rFonts w:hint="eastAsia" w:ascii="宋体" w:hAnsi="宋体" w:eastAsia="宋体"/>
              </w:rPr>
            </w:pPr>
            <w:r>
              <w:rPr>
                <w:rFonts w:hint="eastAsia" w:ascii="宋体" w:hAnsi="宋体" w:eastAsia="宋体"/>
              </w:rPr>
              <w:t>学时</w:t>
            </w:r>
          </w:p>
        </w:tc>
        <w:tc>
          <w:tcPr>
            <w:tcW w:w="84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D694155">
            <w:pPr>
              <w:spacing w:after="0" w:line="360" w:lineRule="auto"/>
              <w:jc w:val="center"/>
              <w:rPr>
                <w:rFonts w:hint="eastAsia" w:ascii="宋体" w:hAnsi="宋体" w:eastAsia="宋体"/>
              </w:rPr>
            </w:pPr>
            <w:r>
              <w:rPr>
                <w:rFonts w:hint="eastAsia" w:ascii="宋体" w:hAnsi="宋体" w:eastAsia="宋体"/>
              </w:rPr>
              <w:t>开设学期</w:t>
            </w:r>
          </w:p>
        </w:tc>
        <w:tc>
          <w:tcPr>
            <w:tcW w:w="8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9FC0065">
            <w:pPr>
              <w:spacing w:after="0" w:line="360" w:lineRule="auto"/>
              <w:jc w:val="center"/>
              <w:rPr>
                <w:rFonts w:hint="eastAsia" w:ascii="宋体" w:hAnsi="宋体" w:eastAsia="宋体"/>
              </w:rPr>
            </w:pPr>
            <w:r>
              <w:rPr>
                <w:rFonts w:hint="eastAsia" w:ascii="宋体" w:hAnsi="宋体" w:eastAsia="宋体"/>
              </w:rPr>
              <w:t>课程性质</w:t>
            </w:r>
          </w:p>
        </w:tc>
      </w:tr>
      <w:tr w14:paraId="23AFA7A2">
        <w:tblPrEx>
          <w:tblCellMar>
            <w:top w:w="0" w:type="dxa"/>
            <w:left w:w="0" w:type="dxa"/>
            <w:bottom w:w="0" w:type="dxa"/>
            <w:right w:w="0" w:type="dxa"/>
          </w:tblCellMar>
        </w:tblPrEx>
        <w:trPr>
          <w:trHeight w:val="522" w:hRule="atLeast"/>
          <w:jc w:val="center"/>
        </w:trPr>
        <w:tc>
          <w:tcPr>
            <w:tcW w:w="5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AE6A93E">
            <w:pPr>
              <w:spacing w:after="0" w:line="360" w:lineRule="auto"/>
              <w:jc w:val="center"/>
              <w:rPr>
                <w:rFonts w:hint="eastAsia" w:ascii="宋体" w:hAnsi="宋体" w:eastAsia="宋体"/>
              </w:rPr>
            </w:pPr>
            <w:r>
              <w:rPr>
                <w:rFonts w:ascii="宋体" w:hAnsi="宋体" w:eastAsia="宋体"/>
              </w:rPr>
              <w:t>1</w:t>
            </w:r>
          </w:p>
        </w:tc>
        <w:tc>
          <w:tcPr>
            <w:tcW w:w="160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DF7634C">
            <w:pPr>
              <w:spacing w:after="0" w:line="360" w:lineRule="auto"/>
              <w:jc w:val="both"/>
              <w:rPr>
                <w:rFonts w:hint="eastAsia" w:ascii="宋体" w:hAnsi="宋体" w:eastAsia="宋体"/>
              </w:rPr>
            </w:pPr>
            <w:r>
              <w:rPr>
                <w:rFonts w:hint="eastAsia" w:ascii="宋体" w:hAnsi="宋体" w:eastAsia="宋体"/>
              </w:rPr>
              <w:t>高观点下的中学数学</w:t>
            </w:r>
          </w:p>
        </w:tc>
        <w:tc>
          <w:tcPr>
            <w:tcW w:w="56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6A94828">
            <w:pPr>
              <w:spacing w:after="0" w:line="360" w:lineRule="auto"/>
              <w:jc w:val="center"/>
              <w:rPr>
                <w:rFonts w:hint="eastAsia" w:ascii="宋体" w:hAnsi="宋体" w:eastAsia="宋体"/>
              </w:rPr>
            </w:pPr>
            <w:r>
              <w:rPr>
                <w:rFonts w:ascii="宋体" w:hAnsi="宋体" w:eastAsia="宋体"/>
              </w:rPr>
              <w:t>3</w:t>
            </w:r>
          </w:p>
        </w:tc>
        <w:tc>
          <w:tcPr>
            <w:tcW w:w="56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741EF70">
            <w:pPr>
              <w:spacing w:after="0" w:line="360" w:lineRule="auto"/>
              <w:jc w:val="center"/>
              <w:rPr>
                <w:rFonts w:hint="eastAsia" w:ascii="宋体" w:hAnsi="宋体" w:eastAsia="宋体"/>
              </w:rPr>
            </w:pPr>
            <w:r>
              <w:rPr>
                <w:rFonts w:ascii="宋体" w:hAnsi="宋体" w:eastAsia="宋体"/>
              </w:rPr>
              <w:t>48</w:t>
            </w:r>
          </w:p>
        </w:tc>
        <w:tc>
          <w:tcPr>
            <w:tcW w:w="84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78B6B69">
            <w:pPr>
              <w:spacing w:after="0" w:line="360" w:lineRule="auto"/>
              <w:jc w:val="center"/>
              <w:rPr>
                <w:rFonts w:hint="eastAsia" w:ascii="宋体" w:hAnsi="宋体" w:eastAsia="宋体"/>
              </w:rPr>
            </w:pPr>
            <w:r>
              <w:rPr>
                <w:rFonts w:ascii="宋体" w:hAnsi="宋体" w:eastAsia="宋体"/>
              </w:rPr>
              <w:t>20</w:t>
            </w:r>
            <w:r>
              <w:rPr>
                <w:rFonts w:hint="eastAsia" w:ascii="宋体" w:hAnsi="宋体" w:eastAsia="宋体"/>
              </w:rPr>
              <w:t>2</w:t>
            </w:r>
            <w:r>
              <w:rPr>
                <w:rFonts w:ascii="宋体" w:hAnsi="宋体" w:eastAsia="宋体"/>
              </w:rPr>
              <w:t>6-2027-1</w:t>
            </w:r>
          </w:p>
        </w:tc>
        <w:tc>
          <w:tcPr>
            <w:tcW w:w="8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AA47F2C">
            <w:pPr>
              <w:spacing w:after="0" w:line="360" w:lineRule="auto"/>
              <w:jc w:val="center"/>
              <w:rPr>
                <w:rFonts w:hint="eastAsia" w:ascii="宋体" w:hAnsi="宋体" w:eastAsia="宋体"/>
              </w:rPr>
            </w:pPr>
            <w:r>
              <w:rPr>
                <w:rFonts w:hint="eastAsia" w:ascii="宋体" w:hAnsi="宋体" w:eastAsia="宋体"/>
              </w:rPr>
              <w:t>必修</w:t>
            </w:r>
          </w:p>
        </w:tc>
      </w:tr>
      <w:tr w14:paraId="1FAFDF32">
        <w:tblPrEx>
          <w:tblCellMar>
            <w:top w:w="0" w:type="dxa"/>
            <w:left w:w="0" w:type="dxa"/>
            <w:bottom w:w="0" w:type="dxa"/>
            <w:right w:w="0" w:type="dxa"/>
          </w:tblCellMar>
        </w:tblPrEx>
        <w:trPr>
          <w:trHeight w:val="521" w:hRule="atLeast"/>
          <w:jc w:val="center"/>
        </w:trPr>
        <w:tc>
          <w:tcPr>
            <w:tcW w:w="5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4BEB3DE">
            <w:pPr>
              <w:spacing w:after="0" w:line="360" w:lineRule="auto"/>
              <w:jc w:val="center"/>
              <w:rPr>
                <w:rFonts w:hint="eastAsia" w:ascii="宋体" w:hAnsi="宋体" w:eastAsia="宋体"/>
              </w:rPr>
            </w:pPr>
            <w:r>
              <w:rPr>
                <w:rFonts w:ascii="宋体" w:hAnsi="宋体" w:eastAsia="宋体"/>
              </w:rPr>
              <w:t>2</w:t>
            </w:r>
          </w:p>
        </w:tc>
        <w:tc>
          <w:tcPr>
            <w:tcW w:w="160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3070019">
            <w:pPr>
              <w:spacing w:after="0" w:line="360" w:lineRule="auto"/>
              <w:jc w:val="both"/>
              <w:rPr>
                <w:rFonts w:hint="eastAsia" w:ascii="宋体" w:hAnsi="宋体" w:eastAsia="宋体"/>
              </w:rPr>
            </w:pPr>
            <w:bookmarkStart w:id="0" w:name="_Hlk168565965"/>
            <w:bookmarkEnd w:id="0"/>
            <w:r>
              <w:rPr>
                <w:rFonts w:hint="eastAsia" w:ascii="宋体" w:hAnsi="宋体" w:eastAsia="宋体"/>
              </w:rPr>
              <w:t>数学方法论</w:t>
            </w:r>
          </w:p>
        </w:tc>
        <w:tc>
          <w:tcPr>
            <w:tcW w:w="56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E9B9E9D">
            <w:pPr>
              <w:spacing w:after="0" w:line="360" w:lineRule="auto"/>
              <w:jc w:val="center"/>
              <w:rPr>
                <w:rFonts w:hint="eastAsia" w:ascii="宋体" w:hAnsi="宋体" w:eastAsia="宋体"/>
              </w:rPr>
            </w:pPr>
            <w:r>
              <w:rPr>
                <w:rFonts w:ascii="宋体" w:hAnsi="宋体" w:eastAsia="宋体"/>
              </w:rPr>
              <w:t>3</w:t>
            </w:r>
          </w:p>
        </w:tc>
        <w:tc>
          <w:tcPr>
            <w:tcW w:w="56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320DD94">
            <w:pPr>
              <w:spacing w:after="0" w:line="360" w:lineRule="auto"/>
              <w:jc w:val="center"/>
              <w:rPr>
                <w:rFonts w:hint="eastAsia" w:ascii="宋体" w:hAnsi="宋体" w:eastAsia="宋体"/>
              </w:rPr>
            </w:pPr>
            <w:r>
              <w:rPr>
                <w:rFonts w:ascii="宋体" w:hAnsi="宋体" w:eastAsia="宋体"/>
              </w:rPr>
              <w:t>48</w:t>
            </w:r>
          </w:p>
        </w:tc>
        <w:tc>
          <w:tcPr>
            <w:tcW w:w="84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EE14A04">
            <w:pPr>
              <w:spacing w:after="0" w:line="360" w:lineRule="auto"/>
              <w:jc w:val="center"/>
              <w:rPr>
                <w:rFonts w:hint="eastAsia" w:ascii="宋体" w:hAnsi="宋体" w:eastAsia="宋体"/>
              </w:rPr>
            </w:pPr>
            <w:r>
              <w:rPr>
                <w:rFonts w:ascii="宋体" w:hAnsi="宋体" w:eastAsia="宋体"/>
              </w:rPr>
              <w:t>20</w:t>
            </w:r>
            <w:r>
              <w:rPr>
                <w:rFonts w:hint="eastAsia" w:ascii="宋体" w:hAnsi="宋体" w:eastAsia="宋体"/>
              </w:rPr>
              <w:t>2</w:t>
            </w:r>
            <w:r>
              <w:rPr>
                <w:rFonts w:ascii="宋体" w:hAnsi="宋体" w:eastAsia="宋体"/>
              </w:rPr>
              <w:t>6-2027-1</w:t>
            </w:r>
          </w:p>
        </w:tc>
        <w:tc>
          <w:tcPr>
            <w:tcW w:w="8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3E1275C">
            <w:pPr>
              <w:spacing w:after="0" w:line="360" w:lineRule="auto"/>
              <w:jc w:val="center"/>
              <w:rPr>
                <w:rFonts w:hint="eastAsia" w:ascii="宋体" w:hAnsi="宋体" w:eastAsia="宋体"/>
              </w:rPr>
            </w:pPr>
            <w:r>
              <w:rPr>
                <w:rFonts w:hint="eastAsia" w:ascii="宋体" w:hAnsi="宋体" w:eastAsia="宋体"/>
              </w:rPr>
              <w:t>必修</w:t>
            </w:r>
          </w:p>
        </w:tc>
      </w:tr>
      <w:tr w14:paraId="4F6E2EAD">
        <w:tblPrEx>
          <w:tblCellMar>
            <w:top w:w="0" w:type="dxa"/>
            <w:left w:w="0" w:type="dxa"/>
            <w:bottom w:w="0" w:type="dxa"/>
            <w:right w:w="0" w:type="dxa"/>
          </w:tblCellMar>
        </w:tblPrEx>
        <w:trPr>
          <w:trHeight w:val="522" w:hRule="atLeast"/>
          <w:jc w:val="center"/>
        </w:trPr>
        <w:tc>
          <w:tcPr>
            <w:tcW w:w="5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91254DC">
            <w:pPr>
              <w:spacing w:after="0" w:line="360" w:lineRule="auto"/>
              <w:jc w:val="center"/>
              <w:rPr>
                <w:rFonts w:hint="eastAsia" w:ascii="宋体" w:hAnsi="宋体" w:eastAsia="宋体"/>
              </w:rPr>
            </w:pPr>
            <w:r>
              <w:rPr>
                <w:rFonts w:ascii="宋体" w:hAnsi="宋体" w:eastAsia="宋体"/>
              </w:rPr>
              <w:t>3</w:t>
            </w:r>
          </w:p>
        </w:tc>
        <w:tc>
          <w:tcPr>
            <w:tcW w:w="160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F4E51A5">
            <w:pPr>
              <w:spacing w:after="0" w:line="360" w:lineRule="auto"/>
              <w:jc w:val="both"/>
              <w:rPr>
                <w:rFonts w:hint="eastAsia" w:ascii="宋体" w:hAnsi="宋体" w:eastAsia="宋体"/>
              </w:rPr>
            </w:pPr>
            <w:r>
              <w:rPr>
                <w:rFonts w:hint="eastAsia" w:ascii="宋体" w:hAnsi="宋体" w:eastAsia="宋体"/>
              </w:rPr>
              <w:t>数学微格教学</w:t>
            </w:r>
          </w:p>
        </w:tc>
        <w:tc>
          <w:tcPr>
            <w:tcW w:w="56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A9ED2A0">
            <w:pPr>
              <w:spacing w:after="0" w:line="360" w:lineRule="auto"/>
              <w:jc w:val="center"/>
              <w:rPr>
                <w:rFonts w:hint="eastAsia" w:ascii="宋体" w:hAnsi="宋体" w:eastAsia="宋体"/>
              </w:rPr>
            </w:pPr>
            <w:r>
              <w:rPr>
                <w:rFonts w:ascii="宋体" w:hAnsi="宋体" w:eastAsia="宋体"/>
              </w:rPr>
              <w:t>3</w:t>
            </w:r>
          </w:p>
        </w:tc>
        <w:tc>
          <w:tcPr>
            <w:tcW w:w="56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A0319FE">
            <w:pPr>
              <w:spacing w:after="0" w:line="360" w:lineRule="auto"/>
              <w:jc w:val="center"/>
              <w:rPr>
                <w:rFonts w:hint="eastAsia" w:ascii="宋体" w:hAnsi="宋体" w:eastAsia="宋体"/>
              </w:rPr>
            </w:pPr>
            <w:r>
              <w:rPr>
                <w:rFonts w:ascii="宋体" w:hAnsi="宋体" w:eastAsia="宋体"/>
              </w:rPr>
              <w:t>48</w:t>
            </w:r>
          </w:p>
        </w:tc>
        <w:tc>
          <w:tcPr>
            <w:tcW w:w="84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4090541">
            <w:pPr>
              <w:spacing w:after="0" w:line="360" w:lineRule="auto"/>
              <w:jc w:val="center"/>
              <w:rPr>
                <w:rFonts w:hint="eastAsia" w:ascii="宋体" w:hAnsi="宋体" w:eastAsia="宋体"/>
              </w:rPr>
            </w:pPr>
            <w:r>
              <w:rPr>
                <w:rFonts w:ascii="宋体" w:hAnsi="宋体" w:eastAsia="宋体"/>
              </w:rPr>
              <w:t>20</w:t>
            </w:r>
            <w:r>
              <w:rPr>
                <w:rFonts w:hint="eastAsia" w:ascii="宋体" w:hAnsi="宋体" w:eastAsia="宋体"/>
              </w:rPr>
              <w:t>2</w:t>
            </w:r>
            <w:r>
              <w:rPr>
                <w:rFonts w:ascii="宋体" w:hAnsi="宋体" w:eastAsia="宋体"/>
              </w:rPr>
              <w:t>6-2027-2</w:t>
            </w:r>
          </w:p>
        </w:tc>
        <w:tc>
          <w:tcPr>
            <w:tcW w:w="8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91B829B">
            <w:pPr>
              <w:spacing w:after="0" w:line="360" w:lineRule="auto"/>
              <w:jc w:val="center"/>
              <w:rPr>
                <w:rFonts w:hint="eastAsia" w:ascii="宋体" w:hAnsi="宋体" w:eastAsia="宋体"/>
              </w:rPr>
            </w:pPr>
            <w:r>
              <w:rPr>
                <w:rFonts w:hint="eastAsia" w:ascii="宋体" w:hAnsi="宋体" w:eastAsia="宋体"/>
              </w:rPr>
              <w:t>必修</w:t>
            </w:r>
          </w:p>
        </w:tc>
      </w:tr>
      <w:tr w14:paraId="6B629CD1">
        <w:tblPrEx>
          <w:tblCellMar>
            <w:top w:w="0" w:type="dxa"/>
            <w:left w:w="0" w:type="dxa"/>
            <w:bottom w:w="0" w:type="dxa"/>
            <w:right w:w="0" w:type="dxa"/>
          </w:tblCellMar>
        </w:tblPrEx>
        <w:trPr>
          <w:trHeight w:val="522" w:hRule="atLeast"/>
          <w:jc w:val="center"/>
        </w:trPr>
        <w:tc>
          <w:tcPr>
            <w:tcW w:w="5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1018FCB">
            <w:pPr>
              <w:spacing w:after="0" w:line="360" w:lineRule="auto"/>
              <w:jc w:val="center"/>
              <w:rPr>
                <w:rFonts w:hint="eastAsia" w:ascii="宋体" w:hAnsi="宋体" w:eastAsia="宋体"/>
              </w:rPr>
            </w:pPr>
            <w:r>
              <w:rPr>
                <w:rFonts w:hint="eastAsia" w:ascii="宋体" w:hAnsi="宋体" w:eastAsia="宋体"/>
              </w:rPr>
              <w:t>4</w:t>
            </w:r>
          </w:p>
        </w:tc>
        <w:tc>
          <w:tcPr>
            <w:tcW w:w="160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3F63CA2">
            <w:pPr>
              <w:spacing w:after="0" w:line="360" w:lineRule="auto"/>
              <w:jc w:val="both"/>
              <w:rPr>
                <w:rFonts w:hint="eastAsia" w:ascii="宋体" w:hAnsi="宋体" w:eastAsia="宋体"/>
              </w:rPr>
            </w:pPr>
            <w:r>
              <w:rPr>
                <w:rFonts w:hint="eastAsia" w:ascii="宋体" w:hAnsi="宋体" w:eastAsia="宋体"/>
              </w:rPr>
              <w:t>数学教师人工智能素养与训练</w:t>
            </w:r>
          </w:p>
        </w:tc>
        <w:tc>
          <w:tcPr>
            <w:tcW w:w="56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880DD2E">
            <w:pPr>
              <w:spacing w:after="0" w:line="360" w:lineRule="auto"/>
              <w:jc w:val="center"/>
              <w:rPr>
                <w:rFonts w:hint="eastAsia" w:ascii="宋体" w:hAnsi="宋体" w:eastAsia="宋体"/>
              </w:rPr>
            </w:pPr>
            <w:r>
              <w:rPr>
                <w:rFonts w:hint="eastAsia" w:ascii="宋体" w:hAnsi="宋体" w:eastAsia="宋体"/>
              </w:rPr>
              <w:t>3</w:t>
            </w:r>
          </w:p>
        </w:tc>
        <w:tc>
          <w:tcPr>
            <w:tcW w:w="56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2B20EBE">
            <w:pPr>
              <w:spacing w:after="0" w:line="360" w:lineRule="auto"/>
              <w:jc w:val="center"/>
              <w:rPr>
                <w:rFonts w:hint="eastAsia" w:ascii="宋体" w:hAnsi="宋体" w:eastAsia="宋体"/>
              </w:rPr>
            </w:pPr>
            <w:r>
              <w:rPr>
                <w:rFonts w:hint="eastAsia" w:ascii="宋体" w:hAnsi="宋体" w:eastAsia="宋体"/>
              </w:rPr>
              <w:t>4</w:t>
            </w:r>
            <w:r>
              <w:rPr>
                <w:rFonts w:ascii="宋体" w:hAnsi="宋体" w:eastAsia="宋体"/>
              </w:rPr>
              <w:t>8</w:t>
            </w:r>
          </w:p>
        </w:tc>
        <w:tc>
          <w:tcPr>
            <w:tcW w:w="84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3EC717A">
            <w:pPr>
              <w:spacing w:after="0" w:line="360" w:lineRule="auto"/>
              <w:jc w:val="center"/>
              <w:rPr>
                <w:rFonts w:hint="eastAsia" w:ascii="宋体" w:hAnsi="宋体" w:eastAsia="宋体"/>
              </w:rPr>
            </w:pPr>
            <w:r>
              <w:rPr>
                <w:rFonts w:ascii="宋体" w:hAnsi="宋体" w:eastAsia="宋体"/>
              </w:rPr>
              <w:t>20</w:t>
            </w:r>
            <w:r>
              <w:rPr>
                <w:rFonts w:hint="eastAsia" w:ascii="宋体" w:hAnsi="宋体" w:eastAsia="宋体"/>
              </w:rPr>
              <w:t>2</w:t>
            </w:r>
            <w:r>
              <w:rPr>
                <w:rFonts w:ascii="宋体" w:hAnsi="宋体" w:eastAsia="宋体"/>
              </w:rPr>
              <w:t>6-2027-2</w:t>
            </w:r>
          </w:p>
        </w:tc>
        <w:tc>
          <w:tcPr>
            <w:tcW w:w="8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0CA4917">
            <w:pPr>
              <w:spacing w:after="0" w:line="360" w:lineRule="auto"/>
              <w:jc w:val="center"/>
              <w:rPr>
                <w:rFonts w:hint="eastAsia" w:ascii="宋体" w:hAnsi="宋体" w:eastAsia="宋体"/>
              </w:rPr>
            </w:pPr>
            <w:r>
              <w:rPr>
                <w:rFonts w:hint="eastAsia" w:ascii="宋体" w:hAnsi="宋体" w:eastAsia="宋体"/>
              </w:rPr>
              <w:t>必修</w:t>
            </w:r>
          </w:p>
        </w:tc>
      </w:tr>
    </w:tbl>
    <w:p w14:paraId="4126F73C">
      <w:pPr>
        <w:spacing w:after="0" w:line="360" w:lineRule="auto"/>
        <w:rPr>
          <w:rFonts w:hint="eastAsia"/>
        </w:rPr>
      </w:pPr>
    </w:p>
    <w:p w14:paraId="0EE7A12D">
      <w:pPr>
        <w:spacing w:after="0" w:line="360" w:lineRule="auto"/>
        <w:rPr>
          <w:rFonts w:hint="eastAsia" w:ascii="黑体" w:hAnsi="黑体" w:eastAsia="黑体"/>
          <w:b/>
          <w:bCs/>
          <w:sz w:val="24"/>
        </w:rPr>
      </w:pPr>
      <w:r>
        <w:rPr>
          <w:rFonts w:hint="eastAsia" w:ascii="黑体" w:hAnsi="黑体" w:eastAsia="黑体"/>
          <w:b/>
          <w:bCs/>
          <w:sz w:val="24"/>
        </w:rPr>
        <w:t>（二）课程简介</w:t>
      </w:r>
    </w:p>
    <w:p w14:paraId="671EEFCC">
      <w:pPr>
        <w:spacing w:after="0" w:line="360" w:lineRule="auto"/>
        <w:rPr>
          <w:rFonts w:hint="eastAsia" w:ascii="宋体" w:hAnsi="宋体" w:eastAsia="宋体"/>
          <w:b/>
          <w:bCs/>
          <w:sz w:val="24"/>
        </w:rPr>
      </w:pPr>
      <w:r>
        <w:rPr>
          <w:rFonts w:ascii="宋体" w:hAnsi="宋体" w:eastAsia="宋体"/>
          <w:b/>
          <w:bCs/>
          <w:sz w:val="24"/>
        </w:rPr>
        <w:t>1.</w:t>
      </w:r>
      <w:r>
        <w:rPr>
          <w:rFonts w:hint="eastAsia" w:ascii="宋体" w:hAnsi="宋体" w:eastAsia="宋体"/>
          <w:b/>
          <w:bCs/>
          <w:sz w:val="24"/>
        </w:rPr>
        <w:t>高观点下的中学数学</w:t>
      </w:r>
    </w:p>
    <w:p w14:paraId="28E244A5">
      <w:pPr>
        <w:spacing w:after="0" w:line="360" w:lineRule="auto"/>
        <w:ind w:firstLine="480" w:firstLineChars="200"/>
        <w:rPr>
          <w:rFonts w:hint="eastAsia" w:ascii="宋体" w:hAnsi="宋体" w:eastAsia="宋体"/>
          <w:sz w:val="24"/>
        </w:rPr>
      </w:pPr>
      <w:r>
        <w:rPr>
          <w:rFonts w:hint="eastAsia" w:ascii="宋体" w:hAnsi="宋体" w:eastAsia="宋体"/>
          <w:sz w:val="24"/>
        </w:rPr>
        <w:t>以中学数学为研究对象，利用高等数学的知识、观点、思想和方法系统地讨论数系、基本初等函数、方程、几何等问题。促进中学数学与高等数学的有效衔接，同时了解数学与其他学科的交叉与联系。</w:t>
      </w:r>
    </w:p>
    <w:p w14:paraId="0B703820">
      <w:pPr>
        <w:spacing w:after="0" w:line="360" w:lineRule="auto"/>
        <w:rPr>
          <w:rFonts w:hint="eastAsia" w:ascii="宋体" w:hAnsi="宋体" w:eastAsia="宋体"/>
          <w:b/>
          <w:bCs/>
          <w:sz w:val="24"/>
        </w:rPr>
      </w:pPr>
      <w:r>
        <w:rPr>
          <w:rFonts w:ascii="宋体" w:hAnsi="宋体" w:eastAsia="宋体"/>
          <w:b/>
          <w:bCs/>
          <w:sz w:val="24"/>
        </w:rPr>
        <w:t>2.</w:t>
      </w:r>
      <w:r>
        <w:rPr>
          <w:rFonts w:hint="eastAsia" w:ascii="宋体" w:hAnsi="宋体" w:eastAsia="宋体"/>
          <w:b/>
          <w:bCs/>
          <w:sz w:val="24"/>
        </w:rPr>
        <w:t>数学方法论</w:t>
      </w:r>
    </w:p>
    <w:p w14:paraId="6B25D05B">
      <w:pPr>
        <w:spacing w:after="0" w:line="360" w:lineRule="auto"/>
        <w:ind w:firstLine="480" w:firstLineChars="200"/>
        <w:rPr>
          <w:rFonts w:hint="eastAsia" w:ascii="宋体" w:hAnsi="宋体" w:eastAsia="宋体"/>
          <w:sz w:val="24"/>
        </w:rPr>
      </w:pPr>
      <w:r>
        <w:rPr>
          <w:rFonts w:hint="eastAsia" w:ascii="宋体" w:hAnsi="宋体" w:eastAsia="宋体"/>
          <w:sz w:val="24"/>
        </w:rPr>
        <w:t>聚焦知识背后的数学思想，梳理基本的数学思维方法与解题模式，助力中学数学的析题和解题能力，提升教材分析，教学设计中例题、习题的选择与组织。</w:t>
      </w:r>
    </w:p>
    <w:p w14:paraId="24B71DC2">
      <w:pPr>
        <w:spacing w:after="0" w:line="360" w:lineRule="auto"/>
        <w:rPr>
          <w:rFonts w:hint="eastAsia" w:ascii="宋体" w:hAnsi="宋体" w:eastAsia="宋体"/>
          <w:b/>
          <w:bCs/>
          <w:sz w:val="24"/>
        </w:rPr>
      </w:pPr>
      <w:r>
        <w:rPr>
          <w:rFonts w:ascii="宋体" w:hAnsi="宋体" w:eastAsia="宋体"/>
          <w:b/>
          <w:bCs/>
          <w:sz w:val="24"/>
        </w:rPr>
        <w:t>3.</w:t>
      </w:r>
      <w:r>
        <w:rPr>
          <w:rFonts w:hint="eastAsia" w:ascii="宋体" w:hAnsi="宋体" w:eastAsia="宋体"/>
          <w:b/>
          <w:bCs/>
          <w:sz w:val="24"/>
        </w:rPr>
        <w:t>数学微格教学</w:t>
      </w:r>
    </w:p>
    <w:p w14:paraId="1FFD6821">
      <w:pPr>
        <w:spacing w:after="0" w:line="360" w:lineRule="auto"/>
        <w:ind w:firstLine="480" w:firstLineChars="200"/>
        <w:rPr>
          <w:rFonts w:hint="eastAsia" w:ascii="宋体" w:hAnsi="宋体" w:eastAsia="宋体"/>
          <w:sz w:val="24"/>
        </w:rPr>
      </w:pPr>
      <w:r>
        <w:rPr>
          <w:rFonts w:hint="eastAsia" w:ascii="宋体" w:hAnsi="宋体" w:eastAsia="宋体"/>
          <w:sz w:val="24"/>
        </w:rPr>
        <w:t>系统讲解数学教学技能的核心知识，微格教学的基本概念和具体实施流程等；指导学生完成完整的数学教学设计和片段教学的实施，提升个人反思、听评课技能及小组教研技能。</w:t>
      </w:r>
    </w:p>
    <w:p w14:paraId="57908CDC">
      <w:pPr>
        <w:spacing w:after="0" w:line="360" w:lineRule="auto"/>
        <w:rPr>
          <w:rFonts w:hint="eastAsia" w:ascii="宋体" w:hAnsi="宋体" w:eastAsia="宋体"/>
          <w:b/>
          <w:bCs/>
          <w:sz w:val="24"/>
        </w:rPr>
      </w:pPr>
      <w:r>
        <w:rPr>
          <w:rFonts w:hint="eastAsia" w:ascii="宋体" w:hAnsi="宋体" w:eastAsia="宋体"/>
          <w:b/>
          <w:bCs/>
          <w:sz w:val="24"/>
        </w:rPr>
        <w:t>4</w:t>
      </w:r>
      <w:r>
        <w:rPr>
          <w:rFonts w:ascii="宋体" w:hAnsi="宋体" w:eastAsia="宋体"/>
          <w:b/>
          <w:bCs/>
          <w:sz w:val="24"/>
        </w:rPr>
        <w:t>.</w:t>
      </w:r>
      <w:r>
        <w:rPr>
          <w:rFonts w:hint="eastAsia" w:ascii="宋体" w:hAnsi="宋体" w:eastAsia="宋体"/>
          <w:b/>
          <w:bCs/>
          <w:sz w:val="24"/>
        </w:rPr>
        <w:t>数学教师人工智能素养与训练</w:t>
      </w:r>
    </w:p>
    <w:p w14:paraId="5F78A9B7">
      <w:pPr>
        <w:spacing w:after="0" w:line="360" w:lineRule="auto"/>
        <w:ind w:firstLine="480" w:firstLineChars="200"/>
        <w:rPr>
          <w:rFonts w:hint="eastAsia" w:ascii="宋体" w:hAnsi="宋体" w:eastAsia="宋体"/>
          <w:sz w:val="24"/>
        </w:rPr>
      </w:pPr>
      <w:r>
        <w:rPr>
          <w:rFonts w:hint="eastAsia" w:ascii="宋体" w:hAnsi="宋体" w:eastAsia="宋体"/>
          <w:sz w:val="24"/>
        </w:rPr>
        <w:t>针对</w:t>
      </w:r>
      <w:r>
        <w:rPr>
          <w:rFonts w:ascii="宋体" w:hAnsi="宋体" w:eastAsia="宋体"/>
          <w:sz w:val="24"/>
        </w:rPr>
        <w:t>中学数学教师</w:t>
      </w:r>
      <w:r>
        <w:rPr>
          <w:rFonts w:hint="eastAsia" w:ascii="宋体" w:hAnsi="宋体" w:eastAsia="宋体"/>
          <w:sz w:val="24"/>
        </w:rPr>
        <w:t>的智能教学需要</w:t>
      </w:r>
      <w:r>
        <w:rPr>
          <w:rFonts w:ascii="宋体" w:hAnsi="宋体" w:eastAsia="宋体"/>
          <w:sz w:val="24"/>
        </w:rPr>
        <w:t>，立足教育数字化转型要求，紧扣数学学科教学实际，聚焦</w:t>
      </w:r>
      <w:r>
        <w:rPr>
          <w:rFonts w:ascii="宋体" w:hAnsi="宋体" w:eastAsia="宋体"/>
          <w:b/>
          <w:bCs/>
          <w:sz w:val="24"/>
        </w:rPr>
        <w:t>人工智能素养提升与课堂落地应用</w:t>
      </w:r>
      <w:r>
        <w:rPr>
          <w:rFonts w:ascii="宋体" w:hAnsi="宋体" w:eastAsia="宋体"/>
          <w:sz w:val="24"/>
        </w:rPr>
        <w:t>，坚持理论引领、实操训练、课例研讨、伦理规范相结合，帮助</w:t>
      </w:r>
      <w:r>
        <w:rPr>
          <w:rFonts w:hint="eastAsia" w:ascii="宋体" w:hAnsi="宋体" w:eastAsia="宋体"/>
          <w:sz w:val="24"/>
        </w:rPr>
        <w:t>学生</w:t>
      </w:r>
      <w:r>
        <w:rPr>
          <w:rFonts w:ascii="宋体" w:hAnsi="宋体" w:eastAsia="宋体"/>
          <w:sz w:val="24"/>
        </w:rPr>
        <w:t>树立智能教育理念，掌握 AI 工具在备课、课堂教学、作业评价、学情诊断、教研创新中的实用方法</w:t>
      </w:r>
      <w:r>
        <w:rPr>
          <w:rFonts w:hint="eastAsia" w:ascii="宋体" w:hAnsi="宋体" w:eastAsia="宋体"/>
          <w:sz w:val="24"/>
        </w:rPr>
        <w:t>。</w:t>
      </w:r>
    </w:p>
    <w:p w14:paraId="3313AA7F">
      <w:pPr>
        <w:spacing w:after="0" w:line="360" w:lineRule="auto"/>
        <w:rPr>
          <w:rFonts w:hint="eastAsia" w:ascii="黑体" w:hAnsi="黑体" w:eastAsia="黑体"/>
          <w:b/>
          <w:bCs/>
          <w:sz w:val="28"/>
          <w:szCs w:val="28"/>
        </w:rPr>
      </w:pPr>
      <w:r>
        <w:rPr>
          <w:rFonts w:hint="eastAsia" w:ascii="黑体" w:hAnsi="黑体" w:eastAsia="黑体"/>
          <w:b/>
          <w:bCs/>
          <w:sz w:val="28"/>
          <w:szCs w:val="28"/>
        </w:rPr>
        <w:t>八、报名和咨询</w:t>
      </w:r>
    </w:p>
    <w:p w14:paraId="14809BE3">
      <w:pPr>
        <w:spacing w:after="0" w:line="360" w:lineRule="auto"/>
        <w:rPr>
          <w:rFonts w:ascii="Segoe UI" w:hAnsi="Segoe UI" w:eastAsia="宋体" w:cs="Segoe UI"/>
          <w:color w:val="0D0D0D"/>
          <w:kern w:val="0"/>
          <w:sz w:val="24"/>
          <w:shd w:val="clear" w:color="auto" w:fill="FFFFFF"/>
          <w14:ligatures w14:val="none"/>
        </w:rPr>
      </w:pPr>
      <w:r>
        <w:rPr>
          <w:rFonts w:hint="eastAsia" w:ascii="黑体" w:hAnsi="黑体" w:eastAsia="黑体"/>
          <w:b/>
          <w:bCs/>
          <w:sz w:val="24"/>
        </w:rPr>
        <w:t>报名方式：</w:t>
      </w:r>
      <w:r>
        <w:rPr>
          <w:rFonts w:hint="eastAsia" w:ascii="Segoe UI" w:hAnsi="Segoe UI" w:eastAsia="宋体" w:cs="Segoe UI"/>
          <w:color w:val="0D0D0D"/>
          <w:kern w:val="0"/>
          <w:sz w:val="24"/>
          <w:shd w:val="clear" w:color="auto" w:fill="FFFFFF"/>
          <w14:ligatures w14:val="none"/>
        </w:rPr>
        <w:t>请有意向学生加入数学教师跨学科智能教学训练与实践微专业咨询</w:t>
      </w:r>
      <w:r>
        <w:rPr>
          <w:rFonts w:ascii="Segoe UI" w:hAnsi="Segoe UI" w:eastAsia="宋体" w:cs="Segoe UI"/>
          <w:color w:val="0D0D0D"/>
          <w:kern w:val="0"/>
          <w:sz w:val="24"/>
          <w:shd w:val="clear" w:color="auto" w:fill="FFFFFF"/>
          <w14:ligatures w14:val="none"/>
        </w:rPr>
        <w:t xml:space="preserve"> QQ 群：</w:t>
      </w:r>
      <w:r>
        <w:rPr>
          <w:rFonts w:hint="eastAsia" w:ascii="Segoe UI" w:hAnsi="Segoe UI" w:eastAsia="宋体" w:cs="Segoe UI"/>
          <w:color w:val="0D0D0D"/>
          <w:kern w:val="0"/>
          <w:sz w:val="24"/>
          <w:shd w:val="clear" w:color="auto" w:fill="FFFFFF"/>
          <w14:ligatures w14:val="none"/>
        </w:rPr>
        <w:t>902383715</w:t>
      </w:r>
      <w:r>
        <w:rPr>
          <w:rFonts w:ascii="Segoe UI" w:hAnsi="Segoe UI" w:eastAsia="宋体" w:cs="Segoe UI"/>
          <w:color w:val="0D0D0D"/>
          <w:kern w:val="0"/>
          <w:sz w:val="24"/>
          <w:shd w:val="clear" w:color="auto" w:fill="FFFFFF"/>
          <w14:ligatures w14:val="none"/>
        </w:rPr>
        <w:t>。</w:t>
      </w:r>
    </w:p>
    <w:p w14:paraId="24E90D76">
      <w:pPr>
        <w:spacing w:after="0" w:line="360" w:lineRule="auto"/>
        <w:rPr>
          <w:rFonts w:ascii="Segoe UI" w:hAnsi="Segoe UI" w:eastAsia="宋体" w:cs="Segoe UI"/>
          <w:color w:val="0D0D0D"/>
          <w:kern w:val="0"/>
          <w:sz w:val="24"/>
          <w:shd w:val="clear" w:color="auto" w:fill="FFFFFF"/>
          <w14:ligatures w14:val="none"/>
        </w:rPr>
      </w:pPr>
      <w:r>
        <w:rPr>
          <w:rFonts w:hint="eastAsia" w:ascii="黑体" w:hAnsi="黑体" w:eastAsia="黑体"/>
          <w:b/>
          <w:bCs/>
          <w:sz w:val="24"/>
        </w:rPr>
        <w:t>报送时间：</w:t>
      </w:r>
      <w:r>
        <w:rPr>
          <w:rFonts w:ascii="Segoe UI" w:hAnsi="Segoe UI" w:eastAsia="宋体" w:cs="Segoe UI"/>
          <w:color w:val="0D0D0D"/>
          <w:kern w:val="0"/>
          <w:sz w:val="24"/>
          <w:shd w:val="clear" w:color="auto" w:fill="FFFFFF"/>
          <w14:ligatures w14:val="none"/>
        </w:rPr>
        <w:t>下载填写《江苏师范大学学生微专业申请表》</w:t>
      </w:r>
      <w:r>
        <w:rPr>
          <w:rFonts w:hint="eastAsia" w:ascii="Segoe UI" w:hAnsi="Segoe UI" w:eastAsia="宋体" w:cs="Segoe UI"/>
          <w:color w:val="0D0D0D"/>
          <w:kern w:val="0"/>
          <w:sz w:val="24"/>
          <w:shd w:val="clear" w:color="auto" w:fill="FFFFFF"/>
          <w14:ligatures w14:val="none"/>
        </w:rPr>
        <w:t>，10月26日</w:t>
      </w:r>
      <w:r>
        <w:rPr>
          <w:rFonts w:ascii="Segoe UI" w:hAnsi="Segoe UI" w:eastAsia="宋体" w:cs="Segoe UI"/>
          <w:color w:val="0D0D0D"/>
          <w:kern w:val="0"/>
          <w:sz w:val="24"/>
          <w:shd w:val="clear" w:color="auto" w:fill="FFFFFF"/>
          <w14:ligatures w14:val="none"/>
        </w:rPr>
        <w:t>前将申请表</w:t>
      </w:r>
      <w:r>
        <w:rPr>
          <w:rFonts w:hint="eastAsia" w:ascii="Segoe UI" w:hAnsi="Segoe UI" w:eastAsia="宋体" w:cs="Segoe UI"/>
          <w:color w:val="0D0D0D"/>
          <w:kern w:val="0"/>
          <w:sz w:val="24"/>
          <w:shd w:val="clear" w:color="auto" w:fill="FFFFFF"/>
          <w14:ligatures w14:val="none"/>
        </w:rPr>
        <w:t>(所在学院审核盖章)pdf</w:t>
      </w:r>
      <w:r>
        <w:rPr>
          <w:rFonts w:ascii="Segoe UI" w:hAnsi="Segoe UI" w:eastAsia="宋体" w:cs="Segoe UI"/>
          <w:color w:val="0D0D0D"/>
          <w:kern w:val="0"/>
          <w:sz w:val="24"/>
          <w:shd w:val="clear" w:color="auto" w:fill="FFFFFF"/>
          <w14:ligatures w14:val="none"/>
        </w:rPr>
        <w:t>电子版发送至邮箱：</w:t>
      </w:r>
      <w:r>
        <w:rPr>
          <w:rFonts w:hint="eastAsia" w:ascii="Segoe UI" w:hAnsi="Segoe UI" w:eastAsia="宋体" w:cs="Segoe UI"/>
          <w:color w:val="0D0D0D"/>
          <w:kern w:val="0"/>
          <w:sz w:val="24"/>
          <w:shd w:val="clear" w:color="auto" w:fill="FFFFFF"/>
          <w14:ligatures w14:val="none"/>
        </w:rPr>
        <w:t>1101028232@qq.com</w:t>
      </w:r>
      <w:r>
        <w:rPr>
          <w:rFonts w:ascii="Segoe UI" w:hAnsi="Segoe UI" w:eastAsia="宋体" w:cs="Segoe UI"/>
          <w:color w:val="0D0D0D"/>
          <w:kern w:val="0"/>
          <w:sz w:val="24"/>
          <w:shd w:val="clear" w:color="auto" w:fill="FFFFFF"/>
          <w14:ligatures w14:val="none"/>
        </w:rPr>
        <w:t>。</w:t>
      </w:r>
    </w:p>
    <w:p w14:paraId="1BB631F9">
      <w:pPr>
        <w:spacing w:after="0" w:line="360" w:lineRule="auto"/>
        <w:rPr>
          <w:rFonts w:hint="eastAsia" w:ascii="黑体" w:hAnsi="黑体" w:eastAsia="黑体"/>
          <w:b/>
          <w:bCs/>
          <w:sz w:val="24"/>
        </w:rPr>
      </w:pPr>
      <w:r>
        <w:rPr>
          <w:rFonts w:hint="eastAsia" w:ascii="黑体" w:hAnsi="黑体" w:eastAsia="黑体"/>
          <w:b/>
          <w:bCs/>
          <w:sz w:val="24"/>
        </w:rPr>
        <w:t>咨询方式：</w:t>
      </w:r>
    </w:p>
    <w:p w14:paraId="37A7E996">
      <w:pPr>
        <w:spacing w:after="0" w:line="360" w:lineRule="auto"/>
        <w:rPr>
          <w:rFonts w:ascii="Segoe UI" w:hAnsi="Segoe UI" w:eastAsia="宋体" w:cs="Segoe UI"/>
          <w:color w:val="0D0D0D"/>
          <w:kern w:val="0"/>
          <w:sz w:val="24"/>
          <w:shd w:val="clear" w:color="auto" w:fill="FFFFFF"/>
          <w14:ligatures w14:val="none"/>
        </w:rPr>
      </w:pPr>
      <w:r>
        <w:rPr>
          <w:rFonts w:hint="eastAsia" w:ascii="Segoe UI" w:hAnsi="Segoe UI" w:eastAsia="宋体" w:cs="Segoe UI"/>
          <w:color w:val="0D0D0D"/>
          <w:kern w:val="0"/>
          <w:sz w:val="24"/>
          <w:shd w:val="clear" w:color="auto" w:fill="FFFFFF"/>
          <w14:ligatures w14:val="none"/>
        </w:rPr>
        <w:t>联系人：马</w:t>
      </w:r>
      <w:r>
        <w:rPr>
          <w:rFonts w:ascii="Segoe UI" w:hAnsi="Segoe UI" w:eastAsia="宋体" w:cs="Segoe UI"/>
          <w:color w:val="0D0D0D"/>
          <w:kern w:val="0"/>
          <w:sz w:val="24"/>
          <w:shd w:val="clear" w:color="auto" w:fill="FFFFFF"/>
          <w14:ligatures w14:val="none"/>
        </w:rPr>
        <w:t>老师</w:t>
      </w:r>
    </w:p>
    <w:p w14:paraId="3FB8E7F3">
      <w:pPr>
        <w:spacing w:after="0" w:line="360" w:lineRule="auto"/>
        <w:rPr>
          <w:rFonts w:ascii="Segoe UI" w:hAnsi="Segoe UI" w:eastAsia="宋体" w:cs="Segoe UI"/>
          <w:color w:val="0D0D0D"/>
          <w:kern w:val="0"/>
          <w:sz w:val="24"/>
          <w:shd w:val="clear" w:color="auto" w:fill="FFFFFF"/>
          <w14:ligatures w14:val="none"/>
        </w:rPr>
      </w:pPr>
      <w:r>
        <w:rPr>
          <w:rFonts w:hint="eastAsia" w:ascii="Segoe UI" w:hAnsi="Segoe UI" w:eastAsia="宋体" w:cs="Segoe UI"/>
          <w:color w:val="0D0D0D"/>
          <w:kern w:val="0"/>
          <w:sz w:val="24"/>
          <w:shd w:val="clear" w:color="auto" w:fill="FFFFFF"/>
          <w14:ligatures w14:val="none"/>
        </w:rPr>
        <w:t>联系电话：（0516）83656545</w:t>
      </w:r>
    </w:p>
    <w:p w14:paraId="33A7218E">
      <w:pPr>
        <w:spacing w:after="0" w:line="360" w:lineRule="auto"/>
        <w:jc w:val="right"/>
        <w:rPr>
          <w:rFonts w:ascii="Segoe UI" w:hAnsi="Segoe UI" w:eastAsia="宋体" w:cs="Segoe UI"/>
          <w:color w:val="0D0D0D"/>
          <w:kern w:val="0"/>
          <w:sz w:val="24"/>
          <w:shd w:val="clear" w:color="auto" w:fill="FFFFFF"/>
          <w14:ligatures w14:val="none"/>
        </w:rPr>
      </w:pPr>
      <w:r>
        <w:rPr>
          <w:rFonts w:hint="eastAsia" w:ascii="Segoe UI" w:hAnsi="Segoe UI" w:eastAsia="宋体" w:cs="Segoe UI"/>
          <w:color w:val="0D0D0D"/>
          <w:kern w:val="0"/>
          <w:sz w:val="24"/>
          <w:shd w:val="clear" w:color="auto" w:fill="FFFFFF"/>
          <w14:ligatures w14:val="none"/>
        </w:rPr>
        <w:t>江苏师范大学数学与统计学院</w:t>
      </w:r>
    </w:p>
    <w:p w14:paraId="2DBF1AFB">
      <w:pPr>
        <w:spacing w:after="0" w:line="360" w:lineRule="auto"/>
        <w:jc w:val="right"/>
        <w:rPr>
          <w:rFonts w:hint="eastAsia"/>
        </w:rPr>
      </w:pPr>
      <w:r>
        <w:rPr>
          <w:rFonts w:ascii="Segoe UI" w:hAnsi="Segoe UI" w:eastAsia="宋体" w:cs="Segoe UI"/>
          <w:color w:val="0D0D0D"/>
          <w:kern w:val="0"/>
          <w:sz w:val="24"/>
          <w:shd w:val="clear" w:color="auto" w:fill="FFFFFF"/>
          <w14:ligatures w14:val="none"/>
        </w:rPr>
        <w:t xml:space="preserve">2026年 10月 </w:t>
      </w:r>
      <w:r>
        <w:rPr>
          <w:rFonts w:hint="eastAsia" w:ascii="Segoe UI" w:hAnsi="Segoe UI" w:eastAsia="宋体" w:cs="Segoe UI"/>
          <w:color w:val="0D0D0D"/>
          <w:kern w:val="0"/>
          <w:sz w:val="24"/>
          <w:shd w:val="clear" w:color="auto" w:fill="FFFFFF"/>
          <w14:ligatures w14:val="none"/>
        </w:rPr>
        <w:t>20</w:t>
      </w:r>
      <w:r>
        <w:rPr>
          <w:rFonts w:ascii="Segoe UI" w:hAnsi="Segoe UI" w:eastAsia="宋体" w:cs="Segoe UI"/>
          <w:color w:val="0D0D0D"/>
          <w:kern w:val="0"/>
          <w:sz w:val="24"/>
          <w:shd w:val="clear" w:color="auto" w:fill="FFFFFF"/>
          <w14:ligatures w14:val="none"/>
        </w:rPr>
        <w:t>日</w:t>
      </w:r>
    </w:p>
    <w:p w14:paraId="177AD339">
      <w:pPr>
        <w:spacing w:after="0" w:line="360" w:lineRule="auto"/>
        <w:rPr>
          <w:rFonts w:hint="eastAsia"/>
        </w:rPr>
      </w:pPr>
    </w:p>
    <w:sectPr>
      <w:pgSz w:w="11906" w:h="16838"/>
      <w:pgMar w:top="1440" w:right="1797" w:bottom="1440"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774"/>
    <w:rsid w:val="00010AEF"/>
    <w:rsid w:val="00065927"/>
    <w:rsid w:val="00067865"/>
    <w:rsid w:val="000B1793"/>
    <w:rsid w:val="000D0144"/>
    <w:rsid w:val="000E7E70"/>
    <w:rsid w:val="00116F2A"/>
    <w:rsid w:val="001227AA"/>
    <w:rsid w:val="00170040"/>
    <w:rsid w:val="00173282"/>
    <w:rsid w:val="001A1EC7"/>
    <w:rsid w:val="001A332C"/>
    <w:rsid w:val="001D1185"/>
    <w:rsid w:val="00225E19"/>
    <w:rsid w:val="00241E4E"/>
    <w:rsid w:val="002542A2"/>
    <w:rsid w:val="00274605"/>
    <w:rsid w:val="002B729B"/>
    <w:rsid w:val="002E3090"/>
    <w:rsid w:val="0030041F"/>
    <w:rsid w:val="003D77E5"/>
    <w:rsid w:val="00400F21"/>
    <w:rsid w:val="004371E8"/>
    <w:rsid w:val="00486F36"/>
    <w:rsid w:val="00544807"/>
    <w:rsid w:val="00570EED"/>
    <w:rsid w:val="005B75B2"/>
    <w:rsid w:val="006122EC"/>
    <w:rsid w:val="00630A57"/>
    <w:rsid w:val="006D44BC"/>
    <w:rsid w:val="006E34DE"/>
    <w:rsid w:val="007732FD"/>
    <w:rsid w:val="0078492C"/>
    <w:rsid w:val="007E25CC"/>
    <w:rsid w:val="008154AA"/>
    <w:rsid w:val="008306DD"/>
    <w:rsid w:val="00876B28"/>
    <w:rsid w:val="00890850"/>
    <w:rsid w:val="008A2774"/>
    <w:rsid w:val="008D30ED"/>
    <w:rsid w:val="00927A3A"/>
    <w:rsid w:val="009538DF"/>
    <w:rsid w:val="0096071F"/>
    <w:rsid w:val="009613C3"/>
    <w:rsid w:val="00A20EBA"/>
    <w:rsid w:val="00A735FA"/>
    <w:rsid w:val="00AA0C42"/>
    <w:rsid w:val="00B012DA"/>
    <w:rsid w:val="00B15BD6"/>
    <w:rsid w:val="00B21122"/>
    <w:rsid w:val="00B35A99"/>
    <w:rsid w:val="00B56476"/>
    <w:rsid w:val="00B76A8B"/>
    <w:rsid w:val="00B95A07"/>
    <w:rsid w:val="00BC467A"/>
    <w:rsid w:val="00BF6204"/>
    <w:rsid w:val="00C011CF"/>
    <w:rsid w:val="00C03928"/>
    <w:rsid w:val="00C06B1D"/>
    <w:rsid w:val="00C900F4"/>
    <w:rsid w:val="00CC0478"/>
    <w:rsid w:val="00CC7E7F"/>
    <w:rsid w:val="00D05706"/>
    <w:rsid w:val="00D120E9"/>
    <w:rsid w:val="00D2569E"/>
    <w:rsid w:val="00D35BE4"/>
    <w:rsid w:val="00DA1402"/>
    <w:rsid w:val="00E228FF"/>
    <w:rsid w:val="00E371BC"/>
    <w:rsid w:val="00E37F71"/>
    <w:rsid w:val="00E50D96"/>
    <w:rsid w:val="00E83EB3"/>
    <w:rsid w:val="00E85A10"/>
    <w:rsid w:val="00E86E5B"/>
    <w:rsid w:val="00EE222F"/>
    <w:rsid w:val="00F65854"/>
    <w:rsid w:val="00F6685C"/>
    <w:rsid w:val="00FF3F80"/>
    <w:rsid w:val="00FF4D65"/>
    <w:rsid w:val="0FE34B24"/>
    <w:rsid w:val="15284D87"/>
    <w:rsid w:val="176302F9"/>
    <w:rsid w:val="1AC90DBB"/>
    <w:rsid w:val="1D0E69CE"/>
    <w:rsid w:val="21C05B7C"/>
    <w:rsid w:val="27602DEB"/>
    <w:rsid w:val="2D7352E2"/>
    <w:rsid w:val="30112B90"/>
    <w:rsid w:val="3A63048C"/>
    <w:rsid w:val="3C1E5443"/>
    <w:rsid w:val="3CED04E1"/>
    <w:rsid w:val="444A7FC7"/>
    <w:rsid w:val="458F65D9"/>
    <w:rsid w:val="48466545"/>
    <w:rsid w:val="48E24C21"/>
    <w:rsid w:val="4EC40E78"/>
    <w:rsid w:val="512322CB"/>
    <w:rsid w:val="621D7366"/>
    <w:rsid w:val="78EE4D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7"/>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3">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7">
    <w:name w:val="Strong"/>
    <w:basedOn w:val="16"/>
    <w:qFormat/>
    <w:uiPriority w:val="22"/>
    <w:rPr>
      <w:b/>
      <w:bCs/>
    </w:rPr>
  </w:style>
  <w:style w:type="character" w:customStyle="1" w:styleId="18">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6"/>
    <w:link w:val="3"/>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6"/>
    <w:link w:val="5"/>
    <w:semiHidden/>
    <w:qFormat/>
    <w:uiPriority w:val="9"/>
    <w:rPr>
      <w:rFonts w:cstheme="majorBidi"/>
      <w:color w:val="104862" w:themeColor="accent1" w:themeShade="BF"/>
      <w:sz w:val="28"/>
      <w:szCs w:val="28"/>
    </w:rPr>
  </w:style>
  <w:style w:type="character" w:customStyle="1" w:styleId="22">
    <w:name w:val="标题 5 字符"/>
    <w:basedOn w:val="16"/>
    <w:link w:val="6"/>
    <w:semiHidden/>
    <w:qFormat/>
    <w:uiPriority w:val="9"/>
    <w:rPr>
      <w:rFonts w:cstheme="majorBidi"/>
      <w:color w:val="104862" w:themeColor="accent1" w:themeShade="BF"/>
      <w:sz w:val="24"/>
    </w:rPr>
  </w:style>
  <w:style w:type="character" w:customStyle="1" w:styleId="23">
    <w:name w:val="标题 6 字符"/>
    <w:basedOn w:val="16"/>
    <w:link w:val="7"/>
    <w:semiHidden/>
    <w:qFormat/>
    <w:uiPriority w:val="9"/>
    <w:rPr>
      <w:rFonts w:cstheme="majorBidi"/>
      <w:b/>
      <w:bCs/>
      <w:color w:val="104862" w:themeColor="accent1" w:themeShade="BF"/>
    </w:rPr>
  </w:style>
  <w:style w:type="character" w:customStyle="1" w:styleId="24">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明显强调1"/>
    <w:basedOn w:val="16"/>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6"/>
    <w:link w:val="33"/>
    <w:qFormat/>
    <w:uiPriority w:val="30"/>
    <w:rPr>
      <w:i/>
      <w:iCs/>
      <w:color w:val="104862" w:themeColor="accent1" w:themeShade="BF"/>
    </w:rPr>
  </w:style>
  <w:style w:type="character" w:customStyle="1" w:styleId="35">
    <w:name w:val="明显参考1"/>
    <w:basedOn w:val="16"/>
    <w:qFormat/>
    <w:uiPriority w:val="32"/>
    <w:rPr>
      <w:b/>
      <w:bCs/>
      <w:smallCaps/>
      <w:color w:val="104862" w:themeColor="accent1" w:themeShade="BF"/>
      <w:spacing w:val="5"/>
    </w:rPr>
  </w:style>
  <w:style w:type="paragraph" w:customStyle="1" w:styleId="36">
    <w:name w:val="western"/>
    <w:basedOn w:val="1"/>
    <w:qFormat/>
    <w:uiPriority w:val="0"/>
    <w:pPr>
      <w:widowControl/>
      <w:spacing w:before="100" w:beforeAutospacing="1" w:after="100" w:afterAutospacing="1" w:line="240" w:lineRule="auto"/>
    </w:pPr>
    <w:rPr>
      <w:rFonts w:ascii="宋体" w:hAnsi="宋体" w:eastAsia="宋体" w:cs="宋体"/>
      <w:kern w:val="0"/>
      <w:sz w:val="24"/>
      <w14:ligatures w14:val="none"/>
    </w:rPr>
  </w:style>
  <w:style w:type="character" w:customStyle="1" w:styleId="37">
    <w:name w:val="页眉 字符"/>
    <w:basedOn w:val="16"/>
    <w:link w:val="12"/>
    <w:qFormat/>
    <w:uiPriority w:val="99"/>
    <w:rPr>
      <w:kern w:val="2"/>
      <w:sz w:val="18"/>
      <w:szCs w:val="18"/>
      <w14:ligatures w14:val="standardContextual"/>
    </w:rPr>
  </w:style>
  <w:style w:type="character" w:customStyle="1" w:styleId="38">
    <w:name w:val="页脚 字符"/>
    <w:basedOn w:val="16"/>
    <w:link w:val="11"/>
    <w:qFormat/>
    <w:uiPriority w:val="99"/>
    <w:rPr>
      <w:kern w:val="2"/>
      <w:sz w:val="18"/>
      <w:szCs w:val="18"/>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2525</Words>
  <Characters>2631</Characters>
  <Lines>19</Lines>
  <Paragraphs>5</Paragraphs>
  <TotalTime>1</TotalTime>
  <ScaleCrop>false</ScaleCrop>
  <LinksUpToDate>false</LinksUpToDate>
  <CharactersWithSpaces>2643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2026-10-20T02:21:00Z</dcterms:created>
  <dc:creator>永乐 李</dc:creator>
  <cp:lastModifiedBy>灵灵</cp:lastModifiedBy>
  <dcterms:modified xsi:type="dcterms:W3CDTF">2026-10-21T09:59:45Z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eyJoZGlkIjoiNzRjNjBhOGU3ZTc5OWM0ZGEyMTM4ODNjODM0NWE0ZGQiLCJ1c2VySWQiOiI0OTA3MDkzODMifQ==</vt:lpwstr>
  </property>
  <property fmtid="{D5CDD505-2E9C-101B-9397-08002B2CF9AE}" pid="3" name="KSOProductBuildVer">
    <vt:lpwstr>2052-12.1.0.28802</vt:lpwstr>
  </property>
  <property fmtid="{D5CDD505-2E9C-101B-9397-08002B2CF9AE}" pid="4" name="ICV">
    <vt:lpwstr>AF33F507E08E4A9D8011135A3484EA3D_12</vt:lpwstr>
  </property>
</Properties>
</file>