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D7FEC1">
      <w:pPr>
        <w:jc w:val="center"/>
        <w:rPr>
          <w:rFonts w:hint="eastAsia" w:ascii="黑体" w:hAnsi="黑体" w:eastAsia="黑体"/>
          <w:b/>
          <w:bCs/>
          <w:sz w:val="32"/>
          <w:szCs w:val="32"/>
        </w:rPr>
      </w:pPr>
      <w:r>
        <w:rPr>
          <w:rFonts w:ascii="黑体" w:hAnsi="黑体" w:eastAsia="黑体"/>
          <w:b/>
          <w:sz w:val="32"/>
        </w:rPr>
        <w:t>江苏师范大学AI辅助教学设计与论文写作微专业招生简章</w:t>
      </w:r>
    </w:p>
    <w:p w14:paraId="629405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hint="eastAsia"/>
          <w:b/>
          <w:bCs/>
        </w:rPr>
      </w:pPr>
      <w:r>
        <w:rPr>
          <w:rFonts w:ascii="宋体" w:hAnsi="宋体" w:eastAsia="宋体"/>
          <w:sz w:val="21"/>
          <w:szCs w:val="21"/>
        </w:rPr>
        <w:t>为顺应生成式人工智能赋能教育教学与学术创新的发展趋势，提升学生人工智能素养、教学创新能力和科研实践能力，教育学部面向全校开设“AI辅助教学设计与论文写作”微专业。本微专业突出人工智能在教学设计、科研学习和学术写作中的真实应用，通过系统课程和项目实践，帮助学生形成规范、高效、负责任的人机协同能力</w:t>
      </w:r>
      <w:r>
        <w:rPr>
          <w:rFonts w:ascii="宋体" w:hAnsi="宋体" w:eastAsia="宋体"/>
          <w:sz w:val="21"/>
        </w:rPr>
        <w:t>。</w:t>
      </w:r>
    </w:p>
    <w:p w14:paraId="1F5F1B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 w:ascii="黑体" w:hAnsi="黑体" w:eastAsia="黑体"/>
          <w:b/>
          <w:bCs/>
          <w:sz w:val="24"/>
          <w:szCs w:val="24"/>
        </w:rPr>
        <w:t>一、微专业介绍</w:t>
      </w:r>
    </w:p>
    <w:p w14:paraId="20E98B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hint="eastAsia"/>
          <w:b/>
          <w:bCs/>
        </w:rPr>
      </w:pPr>
      <w:r>
        <w:rPr>
          <w:rFonts w:ascii="宋体" w:hAnsi="宋体" w:eastAsia="宋体"/>
          <w:sz w:val="21"/>
        </w:rPr>
        <w:t>“AI辅助教学设计与论文写作”微专业由江苏师范大学教育学部建设，面向生成式人工智能赋能教育教学与学术创新的发展需求，依托教育学与人工智能的交叉融合，聚焦人工智能在教学设计、数字资源开发、科研实践和学术表达中的规范应用。微专业不以掌握某一特定人工智能平台为目标，而是通过真实任务和项目实践，培养学生理解人工智能能力边界、设计人机协同流程、核验人工智能输出并解决实际问题的能力。</w:t>
      </w:r>
    </w:p>
    <w:p w14:paraId="26656F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ascii="宋体" w:hAnsi="宋体" w:eastAsia="宋体"/>
          <w:sz w:val="21"/>
        </w:rPr>
        <w:t>本微专业设置4门核心课程，共8学分、128学时，课程按照“基础认知—教学应用—研究实践—成果表达”的逻辑递进，兼顾人工智能通用能力、教育教学应用能力、科研方法能力与学术表达能力，并将数据安全、隐私保护、知识产权、事实核查和学术诚信贯穿培养全过程。</w:t>
      </w:r>
    </w:p>
    <w:p w14:paraId="4D63C0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二、培养目标</w:t>
      </w:r>
    </w:p>
    <w:p w14:paraId="7FB99E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eastAsia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（一）培养方向</w:t>
      </w:r>
    </w:p>
    <w:p w14:paraId="4D6162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ascii="宋体" w:hAnsi="宋体" w:eastAsia="宋体"/>
          <w:sz w:val="21"/>
        </w:rPr>
        <w:t>面向全校全日制本科生，重点面向师范类专业学生以及有教学设计、科研学习与学术写作需求的学生，培养具备人工智能素养、教学创新能力、科研实践能力和学术规范意识的复合型应用人才。</w:t>
      </w:r>
    </w:p>
    <w:p w14:paraId="5E869C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ascii="宋体" w:hAnsi="宋体" w:eastAsia="宋体"/>
          <w:sz w:val="21"/>
        </w:rPr>
        <w:t>通过系统学习，使学生能够理解生成式人工智能及大语言模型的基本原理、主要能力与应用边界，掌握提示设计、人机协同、信息检索与事实核查等基础方法；能够运用人工智能辅助开展教学设计、数字资源开发、文献检索、研究设计、数据处理和学术写作，并形成对人工智能输出进行辨析、验证和迭代优化的能力。</w:t>
      </w:r>
    </w:p>
    <w:p w14:paraId="61BB03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（二）培养模式</w:t>
      </w:r>
    </w:p>
    <w:p w14:paraId="7867B9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b/>
          <w:sz w:val="24"/>
          <w:szCs w:val="24"/>
        </w:rPr>
        <w:t>1. 特色课程设计</w:t>
      </w:r>
    </w:p>
    <w:p w14:paraId="78CCCB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eastAsia"/>
        </w:rPr>
      </w:pPr>
      <w:r>
        <w:rPr>
          <w:rFonts w:ascii="宋体" w:hAnsi="宋体" w:eastAsia="宋体"/>
          <w:sz w:val="21"/>
        </w:rPr>
        <w:t>（1）模块化课程结构：围绕“基础认知—教学应用—研究实践—成果表达”设置4门核心课程，形成相互衔接的能力链。</w:t>
      </w:r>
    </w:p>
    <w:p w14:paraId="68174B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eastAsia"/>
        </w:rPr>
      </w:pPr>
      <w:r>
        <w:rPr>
          <w:rFonts w:ascii="宋体" w:hAnsi="宋体" w:eastAsia="宋体"/>
          <w:sz w:val="21"/>
        </w:rPr>
        <w:t>（2）内容动态更新：课程不绑定单一平台或软件，根据人工智能技术发展、教育应用变化和相关政策规范持续更新案例、工具与任务。</w:t>
      </w:r>
    </w:p>
    <w:p w14:paraId="36DF0D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b/>
          <w:sz w:val="24"/>
          <w:szCs w:val="24"/>
        </w:rPr>
        <w:t>2. 实践与创新</w:t>
      </w:r>
    </w:p>
    <w:p w14:paraId="3980E5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eastAsia"/>
        </w:rPr>
      </w:pPr>
      <w:r>
        <w:rPr>
          <w:rFonts w:ascii="宋体" w:hAnsi="宋体" w:eastAsia="宋体"/>
          <w:sz w:val="21"/>
        </w:rPr>
        <w:t>（1）项目驱动：采用“教师讲授/演示—学生操作—任务产出—同伴互评—教师反馈—迭代优化”的学习流程，将教学设计、数字资源制作、研究方案、数据分析和论文写作等真实任务贯穿课程。</w:t>
      </w:r>
    </w:p>
    <w:p w14:paraId="29A13C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eastAsia"/>
        </w:rPr>
      </w:pPr>
      <w:r>
        <w:rPr>
          <w:rFonts w:ascii="宋体" w:hAnsi="宋体" w:eastAsia="宋体"/>
          <w:sz w:val="21"/>
        </w:rPr>
        <w:t>（2）人机协同：强调“AI辅助而非替代”，训练学生明确任务、选择工具、设计交互、生成结果、核验修正和反思优化的完整工作流程。</w:t>
      </w:r>
    </w:p>
    <w:p w14:paraId="2B7B02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eastAsia"/>
        </w:rPr>
      </w:pPr>
      <w:r>
        <w:rPr>
          <w:rFonts w:ascii="宋体" w:hAnsi="宋体" w:eastAsia="宋体"/>
          <w:sz w:val="21"/>
        </w:rPr>
        <w:t>（3）成果迁移：鼓励学生将微专业所学应用于主修专业课程学习、教学实践、科研训练、创新创业及毕业论文等真实场景，形成可迁移的人工智能应用能力。</w:t>
      </w:r>
    </w:p>
    <w:p w14:paraId="1A141F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eastAsia"/>
        </w:rPr>
      </w:pPr>
      <w:r>
        <w:rPr>
          <w:rFonts w:hint="eastAsia" w:ascii="黑体" w:hAnsi="黑体" w:eastAsia="黑体" w:cs="黑体"/>
          <w:b/>
          <w:sz w:val="24"/>
          <w:szCs w:val="24"/>
        </w:rPr>
        <w:t>3. 综合素质培养</w:t>
      </w:r>
    </w:p>
    <w:p w14:paraId="6828AD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ascii="宋体" w:hAnsi="宋体" w:eastAsia="宋体"/>
          <w:sz w:val="21"/>
        </w:rPr>
        <w:t>在提升数字素养和实践能力的同时，强化独立思考、证据意识、知识产权、数据安全、隐私保护和学术诚信教育，引导学生负责任地使用人工智能，并对最终成果承担责任。</w:t>
      </w:r>
    </w:p>
    <w:p w14:paraId="1D6477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eastAsia"/>
          <w:sz w:val="24"/>
          <w:szCs w:val="24"/>
        </w:rPr>
      </w:pPr>
      <w:r>
        <w:rPr>
          <w:rFonts w:hint="eastAsia" w:ascii="黑体" w:hAnsi="黑体" w:eastAsia="黑体"/>
          <w:b/>
          <w:bCs/>
          <w:sz w:val="24"/>
          <w:szCs w:val="24"/>
        </w:rPr>
        <w:t>（三）培养要求</w:t>
      </w:r>
    </w:p>
    <w:p w14:paraId="121B32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b/>
          <w:sz w:val="24"/>
          <w:szCs w:val="24"/>
        </w:rPr>
        <w:t>1. 理论基础</w:t>
      </w:r>
    </w:p>
    <w:p w14:paraId="266AC8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ascii="宋体" w:hAnsi="宋体" w:eastAsia="宋体"/>
          <w:sz w:val="21"/>
        </w:rPr>
        <w:t>理解生成式人工智能、大语言模型与多模态人工智能的基本概念、工作原理、能力边界和常见风险，了解人工智能赋能教育教学与科研活动的基本逻辑。</w:t>
      </w:r>
    </w:p>
    <w:p w14:paraId="4AA991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eastAsia"/>
        </w:rPr>
      </w:pPr>
      <w:r>
        <w:rPr>
          <w:rFonts w:hint="eastAsia" w:ascii="黑体" w:hAnsi="黑体" w:eastAsia="黑体" w:cs="黑体"/>
          <w:b/>
          <w:sz w:val="24"/>
          <w:szCs w:val="24"/>
        </w:rPr>
        <w:t>2. 实践能力</w:t>
      </w:r>
    </w:p>
    <w:p w14:paraId="131D38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ascii="宋体" w:hAnsi="宋体" w:eastAsia="宋体"/>
          <w:sz w:val="21"/>
        </w:rPr>
        <w:t>能够围绕真实任务运用人工智能开展教学设计、数字资源开发、文献检索、研究设计、数据整理与基础分析、论文写作和学术表达，并对生成结果进行核验和迭代优化。</w:t>
      </w:r>
    </w:p>
    <w:p w14:paraId="1DD40A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b/>
          <w:sz w:val="24"/>
          <w:szCs w:val="24"/>
        </w:rPr>
        <w:t>3. 规范与伦理</w:t>
      </w:r>
    </w:p>
    <w:p w14:paraId="6328AA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ascii="宋体" w:hAnsi="宋体" w:eastAsia="宋体"/>
          <w:sz w:val="21"/>
        </w:rPr>
        <w:t>严格遵守数据安全、隐私保护、知识产权、平台使用及学术诚信规范，不上传涉密、敏感或未经授权的数据，不以人工智能虚构数据、文献或事实。</w:t>
      </w:r>
    </w:p>
    <w:p w14:paraId="6A0D27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eastAsia"/>
        </w:rPr>
      </w:pPr>
      <w:r>
        <w:rPr>
          <w:rFonts w:hint="eastAsia" w:ascii="黑体" w:hAnsi="黑体" w:eastAsia="黑体" w:cs="黑体"/>
          <w:b/>
          <w:sz w:val="24"/>
          <w:szCs w:val="24"/>
        </w:rPr>
        <w:t>4. 学习与责任</w:t>
      </w:r>
    </w:p>
    <w:p w14:paraId="33FBE7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ascii="宋体" w:hAnsi="宋体" w:eastAsia="宋体"/>
          <w:sz w:val="21"/>
        </w:rPr>
        <w:t>学有余力，能够合理安排主修专业与微专业学习时间，主动完成理论学习、操作实践、课程作业和项目任务，并对本人提交的学习成果负责。</w:t>
      </w:r>
    </w:p>
    <w:p w14:paraId="6E15C6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三、专业特色</w:t>
      </w:r>
    </w:p>
    <w:p w14:paraId="1FABD6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eastAsia"/>
        </w:rPr>
      </w:pPr>
      <w:r>
        <w:rPr>
          <w:rFonts w:hint="eastAsia" w:ascii="黑体" w:hAnsi="黑体" w:eastAsia="黑体" w:cs="黑体"/>
          <w:b/>
          <w:sz w:val="24"/>
          <w:szCs w:val="24"/>
        </w:rPr>
        <w:t>1. 教育场景导向</w:t>
      </w:r>
    </w:p>
    <w:p w14:paraId="08E067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ascii="宋体" w:hAnsi="宋体" w:eastAsia="宋体"/>
          <w:sz w:val="21"/>
        </w:rPr>
        <w:t>不同于一般人工智能通识或工具培训，本微专业突出AI在教学设计、教育研究和学术表达中的真实应用，将技术能力与教育教学、科研学习需求紧密结合。</w:t>
      </w:r>
    </w:p>
    <w:p w14:paraId="5AA356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eastAsia"/>
        </w:rPr>
      </w:pPr>
      <w:r>
        <w:rPr>
          <w:rFonts w:hint="eastAsia" w:ascii="黑体" w:hAnsi="黑体" w:eastAsia="黑体" w:cs="黑体"/>
          <w:b/>
          <w:sz w:val="24"/>
          <w:szCs w:val="24"/>
        </w:rPr>
        <w:t>2. 递进式课程体系</w:t>
      </w:r>
    </w:p>
    <w:p w14:paraId="6DCC6B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ascii="宋体" w:hAnsi="宋体" w:eastAsia="宋体"/>
          <w:sz w:val="21"/>
        </w:rPr>
        <w:t>4门课程由通用AI能力逐步进入教学、研究和论文写作场景，形成从基础工具使用到综合成果表达的完整能力链。</w:t>
      </w:r>
    </w:p>
    <w:p w14:paraId="2718EA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b/>
          <w:sz w:val="24"/>
          <w:szCs w:val="24"/>
        </w:rPr>
        <w:t>3. 实践项目驱动</w:t>
      </w:r>
    </w:p>
    <w:p w14:paraId="7245D7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ascii="宋体" w:hAnsi="宋体" w:eastAsia="宋体"/>
          <w:sz w:val="21"/>
        </w:rPr>
        <w:t>通过案例研讨、工具实操、教学设计、数字资源制作、研究方案、数据分析和论文写作等任务，将知识学习转化为可展示、可评价的实践成果。</w:t>
      </w:r>
    </w:p>
    <w:p w14:paraId="1A6117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b/>
          <w:sz w:val="24"/>
          <w:szCs w:val="24"/>
        </w:rPr>
        <w:t>4. 人机协同与规范并重</w:t>
      </w:r>
    </w:p>
    <w:p w14:paraId="0563CE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ascii="宋体" w:hAnsi="宋体" w:eastAsia="宋体"/>
          <w:sz w:val="21"/>
        </w:rPr>
        <w:t>将事实核查、数据安全、知识产权、隐私保护和学术诚信贯穿课程全过程，强调人工智能辅助人的判断与创造，而不是替代人的独立思考和责任承担。</w:t>
      </w:r>
    </w:p>
    <w:p w14:paraId="236E22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四、资源保障</w:t>
      </w:r>
    </w:p>
    <w:p w14:paraId="5BD349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eastAsia"/>
        </w:rPr>
      </w:pPr>
      <w:r>
        <w:rPr>
          <w:rFonts w:hint="eastAsia" w:ascii="黑体" w:hAnsi="黑体" w:eastAsia="黑体" w:cs="黑体"/>
          <w:b/>
          <w:sz w:val="24"/>
          <w:szCs w:val="24"/>
        </w:rPr>
        <w:t>1. 教学团队</w:t>
      </w:r>
    </w:p>
    <w:p w14:paraId="605C9D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ascii="宋体" w:hAnsi="宋体" w:eastAsia="宋体"/>
          <w:sz w:val="21"/>
        </w:rPr>
        <w:t>依托教育学部组建教学团队，并根据课程需要吸纳人工智能、数据科学、教育技术等相关领域教师，形成“教育场景+技术+科研方法”协同的课程建设与教学机制。</w:t>
      </w:r>
    </w:p>
    <w:p w14:paraId="35896F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b/>
          <w:sz w:val="24"/>
          <w:szCs w:val="24"/>
        </w:rPr>
        <w:t>2. 课程资源</w:t>
      </w:r>
    </w:p>
    <w:p w14:paraId="530429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ascii="宋体" w:hAnsi="宋体" w:eastAsia="宋体"/>
          <w:sz w:val="21"/>
        </w:rPr>
        <w:t>围绕4门核心课程建设教学大纲、案例库、操作任务、项目评价量规和在线辅助学习资源，并根据人工智能技术与政策规范持续更新。</w:t>
      </w:r>
    </w:p>
    <w:p w14:paraId="07F455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b/>
          <w:sz w:val="24"/>
          <w:szCs w:val="24"/>
        </w:rPr>
        <w:t>3. 教学环境与平台</w:t>
      </w:r>
    </w:p>
    <w:p w14:paraId="6CA74D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ascii="宋体" w:hAnsi="宋体" w:eastAsia="宋体"/>
          <w:sz w:val="21"/>
        </w:rPr>
        <w:t>依托学校智慧教室、计算机教学环境、在线教学平台等开展AI工具实操、数字资源制作、数据分析和项目展示；优先使用学校已有平台和合规可访问的人工智能工具。</w:t>
      </w:r>
    </w:p>
    <w:p w14:paraId="79D597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b/>
          <w:sz w:val="24"/>
          <w:szCs w:val="24"/>
        </w:rPr>
        <w:t>4. 学术资源</w:t>
      </w:r>
    </w:p>
    <w:p w14:paraId="616BA2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ascii="宋体" w:hAnsi="宋体" w:eastAsia="宋体"/>
          <w:sz w:val="21"/>
        </w:rPr>
        <w:t>充分利用图书馆数据库、数字资源及学校相关课程资源，为学生开展文献检索、研究设计、数据分析和学术写作提供支持。</w:t>
      </w:r>
    </w:p>
    <w:p w14:paraId="186359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五、招生对象及条件</w:t>
      </w:r>
    </w:p>
    <w:p w14:paraId="4C2F94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eastAsia"/>
        </w:rPr>
      </w:pPr>
      <w:r>
        <w:rPr>
          <w:rFonts w:ascii="宋体" w:hAnsi="宋体" w:eastAsia="宋体"/>
          <w:sz w:val="21"/>
        </w:rPr>
        <w:t>（一）招生对象：本校全日制本科生，专业不限。重点面向师范类专业学生以及对AI辅助教学设计、科研学习和学术写作有学习需求，且学有余力的学生。不要求具有计算机专业背景或编程基础。</w:t>
      </w:r>
    </w:p>
    <w:p w14:paraId="40054A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eastAsia"/>
          <w:color w:val="EE0000"/>
        </w:rPr>
      </w:pPr>
      <w:r>
        <w:rPr>
          <w:rFonts w:ascii="宋体" w:hAnsi="宋体" w:eastAsia="宋体"/>
          <w:sz w:val="21"/>
        </w:rPr>
        <w:t>（二）计划招生人数：50人（原则上达到学校规定的开班人数后组织教学）。</w:t>
      </w:r>
    </w:p>
    <w:p w14:paraId="5A46A6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eastAsia"/>
          <w:color w:val="EE0000"/>
        </w:rPr>
      </w:pPr>
      <w:r>
        <w:rPr>
          <w:rFonts w:ascii="宋体" w:hAnsi="宋体" w:eastAsia="宋体"/>
          <w:sz w:val="21"/>
        </w:rPr>
        <w:t>（三）学制、学分：学制1年，原则上在2个学期内完成；共4门必修课程，总计8学分、128学时。</w:t>
      </w:r>
    </w:p>
    <w:p w14:paraId="697BAA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eastAsia"/>
          <w:shd w:val="clear" w:fill="FFC000"/>
        </w:rPr>
      </w:pPr>
      <w:r>
        <w:rPr>
          <w:rFonts w:ascii="宋体" w:hAnsi="宋体" w:eastAsia="宋体"/>
          <w:sz w:val="21"/>
        </w:rPr>
        <w:t>（四）</w:t>
      </w:r>
      <w:r>
        <w:rPr>
          <w:rFonts w:ascii="宋体" w:hAnsi="宋体" w:eastAsia="宋体"/>
          <w:sz w:val="21"/>
          <w:shd w:val="clear"/>
        </w:rPr>
        <w:t>收费标准：</w:t>
      </w:r>
      <w:r>
        <w:rPr>
          <w:rFonts w:hint="eastAsia" w:ascii="宋体" w:hAnsi="宋体" w:eastAsia="宋体"/>
          <w:sz w:val="21"/>
          <w:shd w:val="clear"/>
          <w:lang w:val="en-US" w:eastAsia="zh-CN"/>
        </w:rPr>
        <w:t>80</w:t>
      </w:r>
      <w:r>
        <w:rPr>
          <w:rFonts w:ascii="宋体" w:hAnsi="宋体" w:eastAsia="宋体"/>
          <w:sz w:val="21"/>
          <w:shd w:val="clear"/>
        </w:rPr>
        <w:t>元/学分，合计</w:t>
      </w:r>
      <w:r>
        <w:rPr>
          <w:rFonts w:hint="eastAsia" w:ascii="宋体" w:hAnsi="宋体" w:eastAsia="宋体"/>
          <w:sz w:val="21"/>
          <w:shd w:val="clear"/>
          <w:lang w:val="en-US" w:eastAsia="zh-CN"/>
        </w:rPr>
        <w:t>640</w:t>
      </w:r>
      <w:r>
        <w:rPr>
          <w:rFonts w:ascii="宋体" w:hAnsi="宋体" w:eastAsia="宋体"/>
          <w:sz w:val="21"/>
          <w:shd w:val="clear"/>
        </w:rPr>
        <w:t>元（按实际批复标准执行）。</w:t>
      </w:r>
    </w:p>
    <w:p w14:paraId="2CB90C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eastAsia"/>
          <w:color w:val="EE0000"/>
        </w:rPr>
      </w:pPr>
      <w:r>
        <w:rPr>
          <w:rFonts w:ascii="宋体" w:hAnsi="宋体" w:eastAsia="宋体"/>
          <w:sz w:val="21"/>
        </w:rPr>
        <w:t>（五）授课方式：本微专业独立开班，主要利用晚上、周末等课余时间授课，以课堂教学和实践操作为主，结合在线学习资源开展混合式学习。</w:t>
      </w:r>
    </w:p>
    <w:p w14:paraId="5D6148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eastAsia"/>
          <w:sz w:val="24"/>
          <w:szCs w:val="24"/>
        </w:rPr>
      </w:pPr>
      <w:r>
        <w:rPr>
          <w:rFonts w:hint="eastAsia" w:ascii="黑体" w:hAnsi="黑体" w:eastAsia="黑体"/>
          <w:b/>
          <w:bCs/>
          <w:sz w:val="24"/>
          <w:szCs w:val="24"/>
        </w:rPr>
        <w:t>六、学分认定与证书授予</w:t>
      </w:r>
    </w:p>
    <w:p w14:paraId="31A0C2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ascii="宋体" w:hAnsi="宋体" w:eastAsia="宋体"/>
          <w:sz w:val="21"/>
        </w:rPr>
      </w:pPr>
      <w:r>
        <w:rPr>
          <w:rFonts w:ascii="宋体" w:hAnsi="宋体" w:eastAsia="宋体"/>
          <w:sz w:val="21"/>
        </w:rPr>
        <w:t>学生在主修专业毕业或结业前，完成微专业培养方案规定的全部课程、获得全部要求学分并按学校规定完成相关手续，由教育学部审核后报教务处审定，学校统一发放微专业结业证书和课程学习证明。微专业课程成绩不纳入主修专业学分绩点计算；如本微专业成功入库教育部学信网</w:t>
      </w:r>
      <w:r>
        <w:rPr>
          <w:rFonts w:hint="eastAsia" w:ascii="宋体" w:hAnsi="宋体" w:eastAsia="宋体"/>
          <w:sz w:val="21"/>
          <w:lang w:val="en-US" w:eastAsia="zh-CN"/>
        </w:rPr>
        <w:t>获得</w:t>
      </w:r>
      <w:bookmarkStart w:id="0" w:name="_GoBack"/>
      <w:bookmarkEnd w:id="0"/>
      <w:r>
        <w:rPr>
          <w:rFonts w:ascii="宋体" w:hAnsi="宋体" w:eastAsia="宋体"/>
          <w:sz w:val="21"/>
        </w:rPr>
        <w:t>备案，相关备案及修读信息可按学校和教育部有关规定查询。</w:t>
      </w:r>
    </w:p>
    <w:p w14:paraId="3B2AAE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eastAsia"/>
          <w:sz w:val="24"/>
          <w:szCs w:val="24"/>
        </w:rPr>
      </w:pPr>
      <w:r>
        <w:rPr>
          <w:rFonts w:hint="eastAsia" w:ascii="黑体" w:hAnsi="黑体" w:eastAsia="黑体"/>
          <w:b/>
          <w:bCs/>
          <w:sz w:val="24"/>
          <w:szCs w:val="24"/>
        </w:rPr>
        <w:t>七、微专业课程</w:t>
      </w:r>
    </w:p>
    <w:p w14:paraId="6CEE53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eastAsia"/>
          <w:b/>
          <w:bCs/>
        </w:rPr>
      </w:pPr>
      <w:r>
        <w:rPr>
          <w:rFonts w:hint="eastAsia" w:ascii="黑体" w:hAnsi="黑体" w:eastAsia="黑体"/>
          <w:b/>
          <w:bCs/>
          <w:sz w:val="24"/>
          <w:szCs w:val="24"/>
        </w:rPr>
        <w:t>（一）课程设置及学时分配表</w:t>
      </w:r>
    </w:p>
    <w:tbl>
      <w:tblPr>
        <w:tblStyle w:val="13"/>
        <w:tblW w:w="8528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47"/>
        <w:gridCol w:w="3944"/>
        <w:gridCol w:w="747"/>
        <w:gridCol w:w="747"/>
        <w:gridCol w:w="1171"/>
        <w:gridCol w:w="1172"/>
      </w:tblGrid>
      <w:tr w14:paraId="7EC7DD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747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5F1A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eastAsia="宋体"/>
                <w:b/>
                <w:sz w:val="19"/>
              </w:rPr>
            </w:pPr>
            <w:r>
              <w:rPr>
                <w:rFonts w:hint="eastAsia" w:ascii="宋体" w:hAnsi="宋体" w:eastAsia="宋体"/>
                <w:b/>
                <w:sz w:val="19"/>
              </w:rPr>
              <w:t>序号</w:t>
            </w:r>
          </w:p>
        </w:tc>
        <w:tc>
          <w:tcPr>
            <w:tcW w:w="3944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EF322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eastAsia="宋体"/>
                <w:b/>
                <w:sz w:val="19"/>
              </w:rPr>
            </w:pPr>
            <w:r>
              <w:rPr>
                <w:rFonts w:hint="eastAsia" w:ascii="宋体" w:hAnsi="宋体" w:eastAsia="宋体"/>
                <w:b/>
                <w:sz w:val="19"/>
              </w:rPr>
              <w:t>课程名称</w:t>
            </w:r>
          </w:p>
        </w:tc>
        <w:tc>
          <w:tcPr>
            <w:tcW w:w="747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26D7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eastAsia="宋体"/>
                <w:b/>
                <w:sz w:val="19"/>
              </w:rPr>
            </w:pPr>
            <w:r>
              <w:rPr>
                <w:rFonts w:hint="eastAsia" w:ascii="宋体" w:hAnsi="宋体" w:eastAsia="宋体"/>
                <w:b/>
                <w:sz w:val="19"/>
              </w:rPr>
              <w:t>学分</w:t>
            </w:r>
          </w:p>
        </w:tc>
        <w:tc>
          <w:tcPr>
            <w:tcW w:w="747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6416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eastAsia="宋体"/>
                <w:b/>
                <w:sz w:val="19"/>
              </w:rPr>
            </w:pPr>
            <w:r>
              <w:rPr>
                <w:rFonts w:hint="eastAsia" w:ascii="宋体" w:hAnsi="宋体" w:eastAsia="宋体"/>
                <w:b/>
                <w:sz w:val="19"/>
              </w:rPr>
              <w:t>学时</w:t>
            </w:r>
          </w:p>
        </w:tc>
        <w:tc>
          <w:tcPr>
            <w:tcW w:w="1171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8C32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eastAsia="宋体"/>
                <w:b/>
                <w:sz w:val="19"/>
              </w:rPr>
            </w:pPr>
            <w:r>
              <w:rPr>
                <w:rFonts w:hint="eastAsia" w:ascii="宋体" w:hAnsi="宋体" w:eastAsia="宋体"/>
                <w:b/>
                <w:sz w:val="19"/>
              </w:rPr>
              <w:t>开设学期</w:t>
            </w:r>
          </w:p>
        </w:tc>
        <w:tc>
          <w:tcPr>
            <w:tcW w:w="1171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2AE4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eastAsia="宋体"/>
                <w:b/>
                <w:sz w:val="19"/>
              </w:rPr>
            </w:pPr>
            <w:r>
              <w:rPr>
                <w:rFonts w:hint="eastAsia" w:ascii="宋体" w:hAnsi="宋体" w:eastAsia="宋体"/>
                <w:b/>
                <w:sz w:val="19"/>
              </w:rPr>
              <w:t>课程性质</w:t>
            </w:r>
          </w:p>
        </w:tc>
      </w:tr>
      <w:tr w14:paraId="596DF0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4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6239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ascii="宋体" w:eastAsia="宋体"/>
                <w:sz w:val="19"/>
              </w:rPr>
            </w:pPr>
            <w:r>
              <w:rPr>
                <w:rFonts w:ascii="宋体" w:hAnsi="宋体" w:eastAsia="宋体"/>
                <w:sz w:val="19"/>
              </w:rPr>
              <w:t>1</w:t>
            </w:r>
          </w:p>
        </w:tc>
        <w:tc>
          <w:tcPr>
            <w:tcW w:w="394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4D74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ascii="宋体" w:eastAsia="宋体"/>
                <w:sz w:val="19"/>
              </w:rPr>
            </w:pPr>
            <w:r>
              <w:rPr>
                <w:rFonts w:ascii="宋体" w:hAnsi="宋体" w:eastAsia="宋体"/>
                <w:sz w:val="19"/>
              </w:rPr>
              <w:t>生成式人工智能基础与智能应用</w:t>
            </w:r>
          </w:p>
        </w:tc>
        <w:tc>
          <w:tcPr>
            <w:tcW w:w="74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E6BA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ascii="宋体" w:eastAsia="宋体"/>
                <w:sz w:val="19"/>
              </w:rPr>
            </w:pPr>
            <w:r>
              <w:rPr>
                <w:rFonts w:ascii="宋体" w:hAnsi="宋体" w:eastAsia="宋体"/>
                <w:sz w:val="19"/>
              </w:rPr>
              <w:t>2</w:t>
            </w:r>
          </w:p>
        </w:tc>
        <w:tc>
          <w:tcPr>
            <w:tcW w:w="74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7766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ascii="宋体" w:eastAsia="宋体"/>
                <w:sz w:val="19"/>
              </w:rPr>
            </w:pPr>
            <w:r>
              <w:rPr>
                <w:rFonts w:ascii="宋体" w:hAnsi="宋体" w:eastAsia="宋体"/>
                <w:sz w:val="19"/>
              </w:rPr>
              <w:t>32</w:t>
            </w:r>
          </w:p>
        </w:tc>
        <w:tc>
          <w:tcPr>
            <w:tcW w:w="117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9C92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ascii="宋体" w:eastAsia="宋体"/>
                <w:sz w:val="19"/>
              </w:rPr>
            </w:pPr>
            <w:r>
              <w:rPr>
                <w:rFonts w:ascii="宋体" w:hAnsi="宋体" w:eastAsia="宋体"/>
                <w:sz w:val="19"/>
              </w:rPr>
              <w:t>春季</w:t>
            </w:r>
          </w:p>
        </w:tc>
        <w:tc>
          <w:tcPr>
            <w:tcW w:w="117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010A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ascii="宋体" w:eastAsia="宋体"/>
                <w:sz w:val="19"/>
              </w:rPr>
            </w:pPr>
            <w:r>
              <w:rPr>
                <w:rFonts w:ascii="宋体" w:hAnsi="宋体" w:eastAsia="宋体"/>
                <w:sz w:val="19"/>
              </w:rPr>
              <w:t>必修</w:t>
            </w:r>
          </w:p>
        </w:tc>
      </w:tr>
      <w:tr w14:paraId="09ED32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2497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ascii="宋体" w:eastAsia="宋体"/>
                <w:sz w:val="19"/>
              </w:rPr>
            </w:pPr>
            <w:r>
              <w:rPr>
                <w:rFonts w:ascii="宋体" w:hAnsi="宋体" w:eastAsia="宋体"/>
                <w:sz w:val="19"/>
              </w:rPr>
              <w:t>2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018B5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ascii="宋体" w:eastAsia="宋体"/>
                <w:sz w:val="19"/>
              </w:rPr>
            </w:pPr>
            <w:r>
              <w:rPr>
                <w:rFonts w:ascii="宋体" w:hAnsi="宋体" w:eastAsia="宋体"/>
                <w:sz w:val="19"/>
              </w:rPr>
              <w:t>AI辅助教学设计与数字资源开发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0F88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ascii="宋体" w:eastAsia="宋体"/>
                <w:sz w:val="19"/>
              </w:rPr>
            </w:pPr>
            <w:r>
              <w:rPr>
                <w:rFonts w:ascii="宋体" w:hAnsi="宋体" w:eastAsia="宋体"/>
                <w:sz w:val="19"/>
              </w:rPr>
              <w:t>2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90D7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ascii="宋体" w:eastAsia="宋体"/>
                <w:sz w:val="19"/>
              </w:rPr>
            </w:pPr>
            <w:r>
              <w:rPr>
                <w:rFonts w:ascii="宋体" w:hAnsi="宋体" w:eastAsia="宋体"/>
                <w:sz w:val="19"/>
              </w:rPr>
              <w:t>32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E2AF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ascii="宋体" w:eastAsia="宋体"/>
                <w:sz w:val="19"/>
              </w:rPr>
            </w:pPr>
            <w:r>
              <w:rPr>
                <w:rFonts w:ascii="宋体" w:hAnsi="宋体" w:eastAsia="宋体"/>
                <w:sz w:val="19"/>
              </w:rPr>
              <w:t>春季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54E23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ascii="宋体" w:eastAsia="宋体"/>
                <w:sz w:val="19"/>
              </w:rPr>
            </w:pPr>
            <w:r>
              <w:rPr>
                <w:rFonts w:ascii="宋体" w:hAnsi="宋体" w:eastAsia="宋体"/>
                <w:sz w:val="19"/>
              </w:rPr>
              <w:t>必修</w:t>
            </w:r>
          </w:p>
        </w:tc>
      </w:tr>
      <w:tr w14:paraId="6F655B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5AB5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ascii="宋体" w:eastAsia="宋体"/>
                <w:sz w:val="19"/>
              </w:rPr>
            </w:pPr>
            <w:r>
              <w:rPr>
                <w:rFonts w:ascii="宋体" w:hAnsi="宋体" w:eastAsia="宋体"/>
                <w:sz w:val="19"/>
              </w:rPr>
              <w:t>3</w:t>
            </w:r>
          </w:p>
        </w:tc>
        <w:tc>
          <w:tcPr>
            <w:tcW w:w="3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3A7C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ascii="宋体" w:eastAsia="宋体"/>
                <w:sz w:val="19"/>
              </w:rPr>
            </w:pPr>
            <w:r>
              <w:rPr>
                <w:rFonts w:ascii="宋体" w:hAnsi="宋体" w:eastAsia="宋体"/>
                <w:sz w:val="19"/>
              </w:rPr>
              <w:t>AI辅助文献检索、研究设计与数据分析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EEDF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ascii="宋体" w:eastAsia="宋体"/>
                <w:sz w:val="19"/>
              </w:rPr>
            </w:pPr>
            <w:r>
              <w:rPr>
                <w:rFonts w:ascii="宋体" w:hAnsi="宋体" w:eastAsia="宋体"/>
                <w:sz w:val="19"/>
              </w:rPr>
              <w:t>2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431D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ascii="宋体" w:eastAsia="宋体"/>
                <w:sz w:val="19"/>
              </w:rPr>
            </w:pPr>
            <w:r>
              <w:rPr>
                <w:rFonts w:ascii="宋体" w:hAnsi="宋体" w:eastAsia="宋体"/>
                <w:sz w:val="19"/>
              </w:rPr>
              <w:t>32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E536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ascii="宋体" w:eastAsia="宋体"/>
                <w:sz w:val="19"/>
              </w:rPr>
            </w:pPr>
            <w:r>
              <w:rPr>
                <w:rFonts w:ascii="宋体" w:hAnsi="宋体" w:eastAsia="宋体"/>
                <w:sz w:val="19"/>
              </w:rPr>
              <w:t>秋季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B098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ascii="宋体" w:eastAsia="宋体"/>
                <w:sz w:val="19"/>
              </w:rPr>
            </w:pPr>
            <w:r>
              <w:rPr>
                <w:rFonts w:ascii="宋体" w:hAnsi="宋体" w:eastAsia="宋体"/>
                <w:sz w:val="19"/>
              </w:rPr>
              <w:t>必修</w:t>
            </w:r>
          </w:p>
        </w:tc>
      </w:tr>
      <w:tr w14:paraId="156989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4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FA93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ascii="宋体" w:eastAsia="宋体"/>
                <w:sz w:val="19"/>
              </w:rPr>
            </w:pPr>
            <w:r>
              <w:rPr>
                <w:rFonts w:ascii="宋体" w:hAnsi="宋体" w:eastAsia="宋体"/>
                <w:sz w:val="19"/>
              </w:rPr>
              <w:t>4</w:t>
            </w:r>
          </w:p>
        </w:tc>
        <w:tc>
          <w:tcPr>
            <w:tcW w:w="394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FDD6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ascii="宋体" w:eastAsia="宋体"/>
                <w:sz w:val="19"/>
              </w:rPr>
            </w:pPr>
            <w:r>
              <w:rPr>
                <w:rFonts w:ascii="宋体" w:hAnsi="宋体" w:eastAsia="宋体"/>
                <w:sz w:val="19"/>
              </w:rPr>
              <w:t>AI辅助论文写作与学术表达</w:t>
            </w:r>
          </w:p>
        </w:tc>
        <w:tc>
          <w:tcPr>
            <w:tcW w:w="74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C861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ascii="宋体" w:eastAsia="宋体"/>
                <w:sz w:val="19"/>
              </w:rPr>
            </w:pPr>
            <w:r>
              <w:rPr>
                <w:rFonts w:ascii="宋体" w:hAnsi="宋体" w:eastAsia="宋体"/>
                <w:sz w:val="19"/>
              </w:rPr>
              <w:t>2</w:t>
            </w:r>
          </w:p>
        </w:tc>
        <w:tc>
          <w:tcPr>
            <w:tcW w:w="74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ACD0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ascii="宋体" w:eastAsia="宋体"/>
                <w:sz w:val="19"/>
              </w:rPr>
            </w:pPr>
            <w:r>
              <w:rPr>
                <w:rFonts w:ascii="宋体" w:hAnsi="宋体" w:eastAsia="宋体"/>
                <w:sz w:val="19"/>
              </w:rPr>
              <w:t>32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1C6D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ascii="宋体" w:eastAsia="宋体"/>
                <w:sz w:val="19"/>
              </w:rPr>
            </w:pPr>
            <w:r>
              <w:rPr>
                <w:rFonts w:ascii="宋体" w:hAnsi="宋体" w:eastAsia="宋体"/>
                <w:sz w:val="19"/>
              </w:rPr>
              <w:t>秋季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377F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ascii="宋体" w:eastAsia="宋体"/>
                <w:sz w:val="19"/>
              </w:rPr>
            </w:pPr>
            <w:r>
              <w:rPr>
                <w:rFonts w:ascii="宋体" w:hAnsi="宋体" w:eastAsia="宋体"/>
                <w:sz w:val="19"/>
              </w:rPr>
              <w:t>必修</w:t>
            </w:r>
          </w:p>
        </w:tc>
      </w:tr>
    </w:tbl>
    <w:p w14:paraId="5DCFB1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eastAsia"/>
        </w:rPr>
      </w:pPr>
    </w:p>
    <w:p w14:paraId="6A0291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eastAsia"/>
          <w:sz w:val="24"/>
          <w:szCs w:val="24"/>
        </w:rPr>
      </w:pPr>
      <w:r>
        <w:rPr>
          <w:rFonts w:hint="eastAsia" w:ascii="黑体" w:hAnsi="黑体" w:eastAsia="黑体"/>
          <w:b/>
          <w:bCs/>
          <w:sz w:val="24"/>
          <w:szCs w:val="24"/>
        </w:rPr>
        <w:t>（二）课程简介</w:t>
      </w:r>
    </w:p>
    <w:p w14:paraId="10E96C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eastAsia"/>
          <w:b/>
          <w:bCs/>
        </w:rPr>
      </w:pPr>
      <w:r>
        <w:rPr>
          <w:rFonts w:ascii="宋体" w:hAnsi="宋体" w:eastAsia="宋体"/>
          <w:sz w:val="21"/>
        </w:rPr>
        <w:t>1. 生成式人工智能基础与智能应用：介绍生成式人工智能、大语言模型及多模态人工智能的基本原理、主要能力与应用边界，训练提示设计、多轮对话、文件分析、信息检索、事实核查与人机协同等基础能力，并融入人工智能伦理、数据安全、版权和隐私保护等内容，为后续课程学习奠定基础。</w:t>
      </w:r>
    </w:p>
    <w:p w14:paraId="3349C3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eastAsia"/>
          <w:b/>
          <w:bCs/>
        </w:rPr>
      </w:pPr>
      <w:r>
        <w:rPr>
          <w:rFonts w:ascii="宋体" w:hAnsi="宋体" w:eastAsia="宋体"/>
          <w:sz w:val="21"/>
        </w:rPr>
        <w:t>2. AI辅助教学设计与数字资源开发：围绕真实教学任务，学习运用人工智能辅助开展学情分析、教学目标设计、教学内容组织、教学活动设计与学习评价，实践开发课件、案例、题库、微课脚本及多模态数字资源，形成“人工智能生成—教师诊断—迭代优化”的教学设计能力。</w:t>
      </w:r>
    </w:p>
    <w:p w14:paraId="4F2A88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eastAsia"/>
        </w:rPr>
      </w:pPr>
      <w:r>
        <w:rPr>
          <w:rFonts w:ascii="宋体" w:hAnsi="宋体" w:eastAsia="宋体"/>
          <w:sz w:val="21"/>
        </w:rPr>
        <w:t>3. AI辅助文献检索、研究设计与数据分析：面向教育教学与一般学术研究场景，训练人工智能辅助检索式构建、文献筛选与阅读、证据整理、研究问题形成和研究方案设计，并学习利用人工智能辅助数据清理、基础统计分析、代码理解、结果核验与图表表达，强调研究方法规范和证据意识。</w:t>
      </w:r>
    </w:p>
    <w:p w14:paraId="56964E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eastAsia"/>
        </w:rPr>
      </w:pPr>
      <w:r>
        <w:rPr>
          <w:rFonts w:ascii="宋体" w:hAnsi="宋体" w:eastAsia="宋体"/>
          <w:sz w:val="21"/>
        </w:rPr>
        <w:t>4. AI辅助论文写作与学术表达：按照学术论文的真实工作流程，训练人工智能辅助题目与摘要优化、引言与文献综述组织、方法与结果表述、讨论与结论撰写、语言润色、图表呈现及汇报展示，同时强化参考文献核验、人工智能使用披露和学术诚信，完成综合性学术写作项目。</w:t>
      </w:r>
    </w:p>
    <w:p w14:paraId="50CF80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eastAsia"/>
          <w:sz w:val="24"/>
          <w:szCs w:val="24"/>
        </w:rPr>
      </w:pPr>
      <w:r>
        <w:rPr>
          <w:rFonts w:hint="eastAsia" w:ascii="黑体" w:hAnsi="黑体" w:eastAsia="黑体"/>
          <w:b/>
          <w:bCs/>
          <w:sz w:val="24"/>
          <w:szCs w:val="24"/>
        </w:rPr>
        <w:t>八、报名和咨询</w:t>
      </w:r>
    </w:p>
    <w:p w14:paraId="2DFC7810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动不如行动！立即扫码入群，开启你的专业蜕变之旅！</w:t>
      </w:r>
    </w:p>
    <w:p w14:paraId="6DE37F29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报名方式：请有意报名的同学加入微专业招生QQ群（群号：1101254857），下载并填写《江苏师范大学学生微专业申请表》，于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10</w:t>
      </w:r>
      <w:r>
        <w:rPr>
          <w:rFonts w:hint="eastAsia" w:ascii="宋体" w:hAnsi="宋体" w:eastAsia="宋体" w:cs="宋体"/>
          <w:sz w:val="21"/>
          <w:szCs w:val="21"/>
        </w:rPr>
        <w:t>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26</w:t>
      </w:r>
      <w:r>
        <w:rPr>
          <w:rFonts w:hint="eastAsia" w:ascii="宋体" w:hAnsi="宋体" w:eastAsia="宋体" w:cs="宋体"/>
          <w:sz w:val="21"/>
          <w:szCs w:val="21"/>
        </w:rPr>
        <w:t>日17:00前将电子版发送至指定邮箱：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271211927@qq.com</w:t>
      </w:r>
      <w:r>
        <w:rPr>
          <w:rFonts w:hint="eastAsia" w:ascii="宋体" w:hAnsi="宋体" w:eastAsia="宋体" w:cs="宋体"/>
          <w:sz w:val="21"/>
          <w:szCs w:val="21"/>
        </w:rPr>
        <w:t>，纸质版提交至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13#207办公</w:t>
      </w:r>
      <w:r>
        <w:rPr>
          <w:rFonts w:hint="eastAsia" w:ascii="宋体" w:hAnsi="宋体" w:eastAsia="宋体" w:cs="宋体"/>
          <w:sz w:val="21"/>
          <w:szCs w:val="21"/>
        </w:rPr>
        <w:t>室。</w:t>
      </w:r>
    </w:p>
    <w:p w14:paraId="520A42E7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联系人: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索老师</w:t>
      </w:r>
      <w:r>
        <w:rPr>
          <w:rFonts w:hint="eastAsia" w:ascii="宋体" w:hAnsi="宋体" w:eastAsia="宋体" w:cs="宋体"/>
          <w:sz w:val="21"/>
          <w:szCs w:val="21"/>
        </w:rPr>
        <w:t xml:space="preserve">             联系电话：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83656529</w:t>
      </w:r>
    </w:p>
    <w:p w14:paraId="545D7C27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</w:p>
    <w:p w14:paraId="722609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40" w:firstLineChars="200"/>
        <w:jc w:val="both"/>
        <w:textAlignment w:val="auto"/>
        <w:rPr>
          <w:rFonts w:hint="eastAsia"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774"/>
    <w:rsid w:val="001A1EC7"/>
    <w:rsid w:val="00570EED"/>
    <w:rsid w:val="00630A57"/>
    <w:rsid w:val="0078492C"/>
    <w:rsid w:val="008A2774"/>
    <w:rsid w:val="009613C3"/>
    <w:rsid w:val="00B21122"/>
    <w:rsid w:val="00C900F4"/>
    <w:rsid w:val="00D05706"/>
    <w:rsid w:val="00DA1402"/>
    <w:rsid w:val="00E85A10"/>
    <w:rsid w:val="0A2E4636"/>
    <w:rsid w:val="1FBBC998"/>
    <w:rsid w:val="1FBFBA22"/>
    <w:rsid w:val="358EF0F8"/>
    <w:rsid w:val="3FCB0ADE"/>
    <w:rsid w:val="5D0A6597"/>
    <w:rsid w:val="6AA20616"/>
    <w:rsid w:val="6E483F5E"/>
    <w:rsid w:val="6ECFACC6"/>
    <w:rsid w:val="7B14034A"/>
    <w:rsid w:val="7CA46C1D"/>
    <w:rsid w:val="7DC03291"/>
    <w:rsid w:val="7DF6922E"/>
    <w:rsid w:val="E7FBB5D5"/>
    <w:rsid w:val="EFEF5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0">
    <w:name w:val="标题 6 字符"/>
    <w:basedOn w:val="14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1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明显引用 字符"/>
    <w:basedOn w:val="14"/>
    <w:link w:val="30"/>
    <w:qFormat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33">
    <w:name w:val="western"/>
    <w:basedOn w:val="1"/>
    <w:qFormat/>
    <w:uiPriority w:val="0"/>
    <w:pPr>
      <w:widowControl/>
      <w:spacing w:before="100" w:beforeAutospacing="1" w:after="100" w:afterAutospacing="1" w:line="240" w:lineRule="auto"/>
    </w:pPr>
    <w:rPr>
      <w:rFonts w:ascii="宋体" w:hAnsi="宋体" w:eastAsia="宋体" w:cs="宋体"/>
      <w:kern w:val="0"/>
      <w:sz w:val="24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3216</Words>
  <Characters>3304</Characters>
  <Lines>107</Lines>
  <Paragraphs>104</Paragraphs>
  <TotalTime>0</TotalTime>
  <ScaleCrop>false</ScaleCrop>
  <LinksUpToDate>false</LinksUpToDate>
  <CharactersWithSpaces>3336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2026-01-20T01:43:00Z</dcterms:created>
  <dc:creator>永乐 李</dc:creator>
  <cp:lastModifiedBy>灵灵</cp:lastModifiedBy>
  <dcterms:modified xsi:type="dcterms:W3CDTF">2026-10-21T09:52:17Z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DF39A78B88DF4D1BB4C64515167FE392_13</vt:lpwstr>
  </property>
  <property fmtid="{D5CDD505-2E9C-101B-9397-08002B2CF9AE}" pid="4" name="KSOTemplateDocerSaveRecord">
    <vt:lpwstr>eyJoZGlkIjoiNzRjNjBhOGU3ZTc5OWM0ZGEyMTM4ODNjODM0NWE0ZGQiLCJ1c2VySWQiOiI0OTA3MDkzODMifQ==</vt:lpwstr>
  </property>
</Properties>
</file>