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6069C0">
      <w:pPr>
        <w:jc w:val="center"/>
        <w:rPr>
          <w:rFonts w:hint="eastAsia" w:ascii="黑体" w:hAnsi="黑体" w:eastAsia="黑体"/>
          <w:b/>
          <w:bCs/>
          <w:sz w:val="32"/>
          <w:szCs w:val="32"/>
        </w:rPr>
      </w:pPr>
      <w:r>
        <w:rPr>
          <w:rFonts w:hint="eastAsia" w:ascii="黑体" w:hAnsi="黑体" w:eastAsia="黑体"/>
          <w:b/>
          <w:bCs/>
          <w:sz w:val="32"/>
          <w:szCs w:val="32"/>
        </w:rPr>
        <w:t>江苏师范大学</w:t>
      </w:r>
      <w:r>
        <w:rPr>
          <w:rFonts w:hint="eastAsia" w:ascii="黑体" w:hAnsi="黑体" w:eastAsia="黑体"/>
          <w:b/>
          <w:bCs/>
          <w:sz w:val="32"/>
          <w:szCs w:val="32"/>
          <w:lang w:eastAsia="zh-CN"/>
        </w:rPr>
        <w:t>《</w:t>
      </w:r>
      <w:r>
        <w:rPr>
          <w:rFonts w:hint="eastAsia" w:ascii="黑体" w:hAnsi="黑体" w:eastAsia="黑体" w:cs="黑体"/>
          <w:b/>
          <w:sz w:val="32"/>
          <w:szCs w:val="32"/>
        </w:rPr>
        <w:t>AI</w:t>
      </w:r>
      <w:r>
        <w:rPr>
          <w:rFonts w:ascii="黑体" w:hAnsi="黑体" w:eastAsia="黑体" w:cs="黑体"/>
          <w:b/>
          <w:sz w:val="32"/>
          <w:szCs w:val="32"/>
        </w:rPr>
        <w:t>GC</w:t>
      </w:r>
      <w:r>
        <w:rPr>
          <w:rFonts w:hint="eastAsia" w:ascii="黑体" w:hAnsi="黑体" w:eastAsia="黑体" w:cs="黑体"/>
          <w:b/>
          <w:sz w:val="32"/>
          <w:szCs w:val="32"/>
          <w:lang w:val="en-US" w:eastAsia="zh-CN"/>
        </w:rPr>
        <w:t>微短剧创作</w:t>
      </w:r>
      <w:r>
        <w:rPr>
          <w:rFonts w:hint="eastAsia" w:ascii="黑体" w:hAnsi="黑体" w:eastAsia="黑体"/>
          <w:b/>
          <w:bCs/>
          <w:sz w:val="32"/>
          <w:szCs w:val="32"/>
          <w:lang w:eastAsia="zh-CN"/>
        </w:rPr>
        <w:t>》</w:t>
      </w:r>
      <w:r>
        <w:rPr>
          <w:rFonts w:hint="eastAsia" w:ascii="黑体" w:hAnsi="黑体" w:eastAsia="黑体"/>
          <w:b/>
          <w:bCs/>
          <w:sz w:val="32"/>
          <w:szCs w:val="32"/>
        </w:rPr>
        <w:t>微专业招生简章</w:t>
      </w:r>
    </w:p>
    <w:p w14:paraId="6DB1EAEC">
      <w:pPr>
        <w:adjustRightInd w:val="0"/>
        <w:snapToGrid w:val="0"/>
        <w:spacing w:before="156" w:beforeLines="50" w:after="156" w:afterLines="50"/>
        <w:jc w:val="both"/>
        <w:rPr>
          <w:rFonts w:hint="eastAsia"/>
          <w:b/>
          <w:bCs/>
          <w:sz w:val="24"/>
        </w:rPr>
      </w:pPr>
      <w:r>
        <w:rPr>
          <w:rFonts w:hint="eastAsia"/>
          <w:b/>
          <w:bCs/>
          <w:sz w:val="24"/>
        </w:rPr>
        <w:t>一、微专业介绍</w:t>
      </w:r>
    </w:p>
    <w:p w14:paraId="5D8E5226">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该课程面向数字内容产业智能化升级需求，依托我校广告学、新闻传播学和戏剧与影视学等深厚的学科积淀定位为“AI技术+影视创作”深度融合的应用型交叉课程。以生成式人工智能为技术底座，以影视叙事与视听语言为专业内核，培养具备AIGC工具驾驭能力、影视审美素养与创意转化能力的复合型人才。课程立足“人机共创”前沿，服务于影视、广告、短视频及元宇宙内容生产等领域，致力于打造适应未来媒体生态的高素质应用型人才。</w:t>
      </w:r>
    </w:p>
    <w:p w14:paraId="37F263BB">
      <w:pPr>
        <w:adjustRightInd w:val="0"/>
        <w:snapToGrid w:val="0"/>
        <w:spacing w:before="156" w:beforeLines="50" w:after="156" w:afterLines="50"/>
        <w:jc w:val="both"/>
        <w:rPr>
          <w:rFonts w:hint="eastAsia"/>
          <w:sz w:val="24"/>
        </w:rPr>
      </w:pPr>
      <w:r>
        <w:rPr>
          <w:rFonts w:hint="eastAsia"/>
          <w:b/>
          <w:bCs/>
          <w:sz w:val="24"/>
        </w:rPr>
        <w:t>二、培养目标</w:t>
      </w:r>
    </w:p>
    <w:p w14:paraId="68E8D44C">
      <w:pPr>
        <w:adjustRightInd w:val="0"/>
        <w:snapToGrid w:val="0"/>
        <w:spacing w:before="156" w:beforeLines="50" w:after="156" w:afterLines="50"/>
        <w:ind w:firstLine="480" w:firstLineChars="200"/>
        <w:jc w:val="both"/>
        <w:rPr>
          <w:rFonts w:hint="eastAsia"/>
          <w:sz w:val="24"/>
        </w:rPr>
      </w:pPr>
      <w:r>
        <w:rPr>
          <w:rFonts w:hint="eastAsia"/>
          <w:b/>
          <w:bCs/>
          <w:sz w:val="24"/>
        </w:rPr>
        <w:t>（一）培养方向</w:t>
      </w:r>
    </w:p>
    <w:p w14:paraId="47255FDF">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本课程的培养方向是聚焦于AIGC时代影视产业所需的复合型应用能力，着力塑造学生将人工智能工具与影视创作全流程深度融合的综合素养。学生将系统掌握从创意构思、提示词优化到AI辅助内容生成、智能分镜、视觉风格化及后期合成的完整技术链，同时具备扎实的视听语言、剪辑思维与叙事能力，能够借助AIGC技术赋能各类数字内容生产与个人品牌建设。课程通过分层实训与企业真实项目驱动，使得学生能够胜任产业一线岗位所需的项目执行与团队协作，并在此过程中形成正确的科技伦理观与信息安全责任意识，能够适应社会发展、兼具审美判断与创新思维的协同型影视人才。</w:t>
      </w:r>
    </w:p>
    <w:p w14:paraId="7FDBB5F0">
      <w:pPr>
        <w:adjustRightInd w:val="0"/>
        <w:snapToGrid w:val="0"/>
        <w:spacing w:before="156" w:beforeLines="50" w:after="156" w:afterLines="50"/>
        <w:ind w:firstLine="480" w:firstLineChars="200"/>
        <w:jc w:val="both"/>
        <w:rPr>
          <w:rFonts w:hint="eastAsia"/>
          <w:sz w:val="24"/>
        </w:rPr>
      </w:pPr>
      <w:r>
        <w:rPr>
          <w:rFonts w:hint="eastAsia"/>
          <w:b/>
          <w:bCs/>
          <w:sz w:val="24"/>
        </w:rPr>
        <w:t>（二）培养模式</w:t>
      </w:r>
    </w:p>
    <w:p w14:paraId="2ADFC6C7">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本微专业采用模块化课程教学+项目制实战训练+校企双导师协同的一体化培养模式，以“基础认知—核心技能—综合创作—行业拓展”四阶递进为能力成长主线，通过“理论讲授</w:t>
      </w:r>
      <w:r>
        <w:rPr>
          <w:rFonts w:ascii="宋体" w:hAnsi="宋体" w:eastAsia="宋体"/>
          <w:sz w:val="24"/>
        </w:rPr>
        <w:t>+工具实操+项目驱动”三位一体的混合式教学，形成“示范—模仿—创作—反思”的闭环</w:t>
      </w:r>
      <w:r>
        <w:rPr>
          <w:rFonts w:hint="eastAsia" w:ascii="宋体" w:hAnsi="宋体" w:eastAsia="宋体"/>
          <w:sz w:val="24"/>
        </w:rPr>
        <w:t>。课程设置突出小而精、跨学科、强实践的微专业特色，全程融入Midjourney、Runway、Pika、剪映AI等主流AIGC工具实操训练。坚持以行业真实命题与企业项目驱动学习，学生分组完成从创意构思、剧本生成、分镜设计、视频生成到后期合成、成片输出的全流程创作，实现课堂教学与产业实践深度衔接。同时由校内专业教师与行业新媒体运营专家共同授课指导，动态跟进Sora等前沿技术迭代，同步强化AI伦理、版权规范与内容合规教育，确保学生快速掌握</w:t>
      </w:r>
      <w:r>
        <w:rPr>
          <w:rFonts w:hint="eastAsia" w:ascii="宋体" w:hAnsi="宋体" w:eastAsia="宋体"/>
          <w:sz w:val="24"/>
          <w:lang w:eastAsia="zh-CN"/>
        </w:rPr>
        <w:t>AIGC微短剧创作</w:t>
      </w:r>
      <w:r>
        <w:rPr>
          <w:rFonts w:hint="eastAsia" w:ascii="宋体" w:hAnsi="宋体" w:eastAsia="宋体"/>
          <w:sz w:val="24"/>
        </w:rPr>
        <w:t>核心能力。</w:t>
      </w:r>
    </w:p>
    <w:p w14:paraId="65D98D3E">
      <w:pPr>
        <w:adjustRightInd w:val="0"/>
        <w:snapToGrid w:val="0"/>
        <w:spacing w:before="156" w:beforeLines="50" w:after="156" w:afterLines="50"/>
        <w:ind w:firstLine="480" w:firstLineChars="200"/>
        <w:jc w:val="both"/>
        <w:rPr>
          <w:rFonts w:hint="eastAsia"/>
          <w:sz w:val="24"/>
        </w:rPr>
      </w:pPr>
      <w:r>
        <w:rPr>
          <w:b/>
          <w:bCs/>
          <w:sz w:val="24"/>
        </w:rPr>
        <w:t>1. </w:t>
      </w:r>
      <w:r>
        <w:rPr>
          <w:rFonts w:hint="eastAsia"/>
          <w:b/>
          <w:bCs/>
          <w:sz w:val="24"/>
        </w:rPr>
        <w:t>特色课程设计</w:t>
      </w:r>
    </w:p>
    <w:p w14:paraId="660C7244">
      <w:pPr>
        <w:adjustRightInd w:val="0"/>
        <w:snapToGrid w:val="0"/>
        <w:spacing w:before="156" w:beforeLines="50" w:after="156" w:afterLines="50"/>
        <w:ind w:firstLine="482" w:firstLineChars="200"/>
        <w:jc w:val="both"/>
        <w:rPr>
          <w:rFonts w:hint="eastAsia" w:ascii="宋体" w:hAnsi="宋体" w:eastAsia="宋体"/>
          <w:sz w:val="24"/>
        </w:rPr>
      </w:pPr>
      <w:r>
        <w:rPr>
          <w:rFonts w:hint="eastAsia" w:ascii="宋体" w:hAnsi="宋体" w:eastAsia="宋体"/>
          <w:b/>
          <w:bCs/>
          <w:sz w:val="24"/>
        </w:rPr>
        <w:t>（</w:t>
      </w:r>
      <w:r>
        <w:rPr>
          <w:rFonts w:ascii="宋体" w:hAnsi="宋体" w:eastAsia="宋体"/>
          <w:b/>
          <w:bCs/>
          <w:sz w:val="24"/>
        </w:rPr>
        <w:t>1</w:t>
      </w:r>
      <w:r>
        <w:rPr>
          <w:rFonts w:hint="eastAsia" w:ascii="宋体" w:hAnsi="宋体" w:eastAsia="宋体"/>
          <w:b/>
          <w:bCs/>
          <w:sz w:val="24"/>
        </w:rPr>
        <w:t>）模块化课程结构</w:t>
      </w:r>
      <w:r>
        <w:rPr>
          <w:rFonts w:hint="eastAsia" w:ascii="宋体" w:hAnsi="宋体" w:eastAsia="宋体"/>
          <w:sz w:val="24"/>
        </w:rPr>
        <w:t>：聚焦AI辅助剧本生成、智能分镜、文/图生视频、视觉风格化、智能音频合成等核心技术，同时强化视听语言、剪辑思维等影视本体素养，实现技术与审美的深度融合。围绕AIGC内容生产全流程设置5门核心课程。模块间层层递进、有机衔接，兼顾知识系统性与学习灵活性，学生可按能力成长规律逐步掌握从理论原理、工具操作到项目实战的完整内容生产体系，突出“小而精、跨学科、强实践”的微专业培养特色。</w:t>
      </w:r>
    </w:p>
    <w:p w14:paraId="06888661">
      <w:pPr>
        <w:adjustRightInd w:val="0"/>
        <w:snapToGrid w:val="0"/>
        <w:spacing w:before="156" w:beforeLines="50" w:after="156" w:afterLines="50"/>
        <w:ind w:firstLine="482" w:firstLineChars="200"/>
        <w:jc w:val="both"/>
        <w:rPr>
          <w:rFonts w:hint="eastAsia" w:ascii="宋体" w:hAnsi="宋体" w:eastAsia="宋体"/>
          <w:sz w:val="24"/>
        </w:rPr>
      </w:pPr>
      <w:r>
        <w:rPr>
          <w:rFonts w:hint="eastAsia" w:ascii="宋体" w:hAnsi="宋体" w:eastAsia="宋体"/>
          <w:b/>
          <w:bCs/>
          <w:sz w:val="24"/>
        </w:rPr>
        <w:t>（2）前沿技术课程</w:t>
      </w:r>
      <w:r>
        <w:rPr>
          <w:rFonts w:hint="eastAsia" w:ascii="宋体" w:hAnsi="宋体" w:eastAsia="宋体"/>
          <w:sz w:val="24"/>
        </w:rPr>
        <w:t>：</w:t>
      </w:r>
      <w:r>
        <w:rPr>
          <w:rFonts w:ascii="宋体" w:hAnsi="宋体" w:eastAsia="宋体"/>
          <w:sz w:val="24"/>
        </w:rPr>
        <w:t xml:space="preserve"> </w:t>
      </w:r>
      <w:r>
        <w:rPr>
          <w:rFonts w:hint="eastAsia" w:ascii="宋体" w:hAnsi="宋体" w:eastAsia="宋体"/>
          <w:sz w:val="24"/>
        </w:rPr>
        <w:t>紧扣行业主流技术，重点开设文生图、文生视频、图生视频、智能剪辑、AI配音配乐、虚拟场景构建、提示词工程、多模态交互等前沿技术内容，同步跟踪技术迭代动态更新教学案例，确保所学技能与产业一线实时对齐。</w:t>
      </w:r>
    </w:p>
    <w:p w14:paraId="3E97EB64">
      <w:pPr>
        <w:adjustRightInd w:val="0"/>
        <w:snapToGrid w:val="0"/>
        <w:spacing w:before="156" w:beforeLines="50" w:after="156" w:afterLines="50"/>
        <w:ind w:firstLine="480" w:firstLineChars="200"/>
        <w:jc w:val="both"/>
        <w:rPr>
          <w:rFonts w:hint="eastAsia"/>
          <w:sz w:val="24"/>
        </w:rPr>
      </w:pPr>
      <w:r>
        <w:rPr>
          <w:b/>
          <w:bCs/>
          <w:sz w:val="24"/>
        </w:rPr>
        <w:t>2. </w:t>
      </w:r>
      <w:r>
        <w:rPr>
          <w:rFonts w:hint="eastAsia"/>
          <w:b/>
          <w:bCs/>
          <w:sz w:val="24"/>
        </w:rPr>
        <w:t>实践与创新</w:t>
      </w:r>
    </w:p>
    <w:p w14:paraId="652E1EFD">
      <w:pPr>
        <w:adjustRightInd w:val="0"/>
        <w:snapToGrid w:val="0"/>
        <w:spacing w:before="156" w:beforeLines="50" w:after="156" w:afterLines="50"/>
        <w:ind w:firstLine="482" w:firstLineChars="200"/>
        <w:jc w:val="both"/>
        <w:rPr>
          <w:rFonts w:hint="eastAsia" w:ascii="宋体" w:hAnsi="宋体" w:eastAsia="宋体"/>
          <w:b/>
          <w:bCs/>
          <w:sz w:val="24"/>
        </w:rPr>
      </w:pPr>
      <w:r>
        <w:rPr>
          <w:rFonts w:hint="eastAsia" w:ascii="宋体" w:hAnsi="宋体" w:eastAsia="宋体"/>
          <w:b/>
          <w:bCs/>
          <w:sz w:val="24"/>
        </w:rPr>
        <w:t>（</w:t>
      </w:r>
      <w:r>
        <w:rPr>
          <w:rFonts w:ascii="宋体" w:hAnsi="宋体" w:eastAsia="宋体"/>
          <w:b/>
          <w:bCs/>
          <w:sz w:val="24"/>
        </w:rPr>
        <w:t>1</w:t>
      </w:r>
      <w:r>
        <w:rPr>
          <w:rFonts w:hint="eastAsia" w:ascii="宋体" w:hAnsi="宋体" w:eastAsia="宋体"/>
          <w:b/>
          <w:bCs/>
          <w:sz w:val="24"/>
        </w:rPr>
        <w:t>）项目驱动</w:t>
      </w:r>
      <w:r>
        <w:rPr>
          <w:rFonts w:hint="eastAsia" w:ascii="宋体" w:hAnsi="宋体" w:eastAsia="宋体"/>
          <w:sz w:val="24"/>
        </w:rPr>
        <w:t>：采用全流程项目制学习（PBL），以广告、短视频、微短剧、公益短片等真实行业命题为载体，组织学生分组完成从创意构思、剧本生成、分镜设计、视频生成到后期合成、成片输出的完整AIGC内容创作，模拟产业真实工作流，实现 “学—练—创—用”一体化能力培养。</w:t>
      </w:r>
    </w:p>
    <w:p w14:paraId="3567AA93">
      <w:pPr>
        <w:adjustRightInd w:val="0"/>
        <w:snapToGrid w:val="0"/>
        <w:spacing w:before="156" w:beforeLines="50" w:after="156" w:afterLines="50"/>
        <w:ind w:firstLine="482" w:firstLineChars="200"/>
        <w:jc w:val="both"/>
        <w:rPr>
          <w:rFonts w:hint="eastAsia" w:ascii="宋体" w:hAnsi="宋体" w:eastAsia="宋体"/>
          <w:b/>
          <w:bCs/>
          <w:sz w:val="24"/>
        </w:rPr>
      </w:pPr>
      <w:r>
        <w:rPr>
          <w:rFonts w:hint="eastAsia" w:ascii="宋体" w:hAnsi="宋体" w:eastAsia="宋体"/>
          <w:b/>
          <w:bCs/>
          <w:sz w:val="24"/>
        </w:rPr>
        <w:t>（</w:t>
      </w:r>
      <w:r>
        <w:rPr>
          <w:rFonts w:ascii="宋体" w:hAnsi="宋体" w:eastAsia="宋体"/>
          <w:b/>
          <w:bCs/>
          <w:sz w:val="24"/>
        </w:rPr>
        <w:t>2</w:t>
      </w:r>
      <w:r>
        <w:rPr>
          <w:rFonts w:hint="eastAsia" w:ascii="宋体" w:hAnsi="宋体" w:eastAsia="宋体"/>
          <w:b/>
          <w:bCs/>
          <w:sz w:val="24"/>
        </w:rPr>
        <w:t>）企业项目实训</w:t>
      </w:r>
      <w:r>
        <w:rPr>
          <w:rFonts w:hint="eastAsia" w:ascii="宋体" w:hAnsi="宋体" w:eastAsia="宋体"/>
          <w:sz w:val="24"/>
        </w:rPr>
        <w:t>：学院与业界顶尖机构建立了长期稳定的合作关系，共建了包括徐州报业传媒集团新媒体中心、中影数字制作基地、艾迪普文化传媒、捷成工业等在内的13个高质量校外实习实训基地。这些基地设施先进、管理规范，年均可接收大批学生开展累计30周以上的生产实习。依托“校内实验室+校外基地”的立体化实践教学平台，本专业形成了“课程实训-项目创作-岗位实习”层层递进的人才培养闭环，确保学生技术能力与行业需求无缝对接。</w:t>
      </w:r>
    </w:p>
    <w:p w14:paraId="65079AFF">
      <w:pPr>
        <w:adjustRightInd w:val="0"/>
        <w:snapToGrid w:val="0"/>
        <w:spacing w:before="156" w:beforeLines="50" w:after="156" w:afterLines="50"/>
        <w:ind w:firstLine="482" w:firstLineChars="200"/>
        <w:jc w:val="both"/>
        <w:rPr>
          <w:rFonts w:hint="eastAsia" w:ascii="宋体" w:hAnsi="宋体" w:eastAsia="宋体"/>
          <w:b/>
          <w:bCs/>
          <w:sz w:val="24"/>
        </w:rPr>
      </w:pPr>
      <w:r>
        <w:rPr>
          <w:rFonts w:hint="eastAsia" w:ascii="宋体" w:hAnsi="宋体" w:eastAsia="宋体"/>
          <w:b/>
          <w:bCs/>
          <w:sz w:val="24"/>
        </w:rPr>
        <w:t>（</w:t>
      </w:r>
      <w:r>
        <w:rPr>
          <w:rFonts w:ascii="宋体" w:hAnsi="宋体" w:eastAsia="宋体"/>
          <w:b/>
          <w:bCs/>
          <w:sz w:val="24"/>
        </w:rPr>
        <w:t>3</w:t>
      </w:r>
      <w:r>
        <w:rPr>
          <w:rFonts w:hint="eastAsia" w:ascii="宋体" w:hAnsi="宋体" w:eastAsia="宋体"/>
          <w:b/>
          <w:bCs/>
          <w:sz w:val="24"/>
        </w:rPr>
        <w:t>）创新创业支持</w:t>
      </w:r>
      <w:r>
        <w:rPr>
          <w:rFonts w:hint="eastAsia" w:ascii="宋体" w:hAnsi="宋体" w:eastAsia="宋体"/>
          <w:sz w:val="24"/>
        </w:rPr>
        <w:t>：学院建有总面积达1470.32平方米的专业实验室，生均使用面积达7平方米，配备高性能工作站、专业摄像机、动作捕捉系统等先进仪器设备700余台（套），设备总值超992万元，可充分满足AIGC工具实训、智能剪辑、虚拟制片等高强度实践教学需求。</w:t>
      </w:r>
    </w:p>
    <w:p w14:paraId="6FD2216B">
      <w:pPr>
        <w:adjustRightInd w:val="0"/>
        <w:snapToGrid w:val="0"/>
        <w:spacing w:before="156" w:beforeLines="50" w:after="156" w:afterLines="50"/>
        <w:ind w:firstLine="480" w:firstLineChars="200"/>
        <w:jc w:val="both"/>
        <w:rPr>
          <w:rFonts w:hint="eastAsia"/>
          <w:sz w:val="24"/>
        </w:rPr>
      </w:pPr>
      <w:r>
        <w:rPr>
          <w:b/>
          <w:bCs/>
          <w:sz w:val="24"/>
        </w:rPr>
        <w:t>3. </w:t>
      </w:r>
      <w:r>
        <w:rPr>
          <w:rFonts w:hint="eastAsia"/>
          <w:b/>
          <w:bCs/>
          <w:sz w:val="24"/>
        </w:rPr>
        <w:t>综合素质培养</w:t>
      </w:r>
    </w:p>
    <w:p w14:paraId="6B58FE94">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坚持德技并修与伦理先行的育人导向。把科技伦理教育同版权规范要求有机融合，引导学生树立正确的技术应用观念并坚守内容创作底线。着力强化学生的团队协作能力、创意表达能力和沟通能力，形成系统性的训练体系。通过上述举措，全面提升学生的审美素养、职业操守与可持续发展后劲。同时，课程体系有机融入新大众文艺素养，使学生不仅掌握“如何做”的技术逻辑，更具备“为何做”的价值判断力。</w:t>
      </w:r>
    </w:p>
    <w:p w14:paraId="502B6595">
      <w:pPr>
        <w:adjustRightInd w:val="0"/>
        <w:snapToGrid w:val="0"/>
        <w:spacing w:before="156" w:beforeLines="50" w:after="156" w:afterLines="50"/>
        <w:ind w:firstLine="480" w:firstLineChars="200"/>
        <w:jc w:val="both"/>
        <w:rPr>
          <w:rFonts w:hint="eastAsia"/>
          <w:sz w:val="24"/>
        </w:rPr>
      </w:pPr>
      <w:r>
        <w:rPr>
          <w:rFonts w:hint="eastAsia"/>
          <w:b/>
          <w:bCs/>
          <w:sz w:val="24"/>
        </w:rPr>
        <w:t>（三）培养要求</w:t>
      </w:r>
    </w:p>
    <w:p w14:paraId="2BE4DBAC">
      <w:pPr>
        <w:adjustRightInd w:val="0"/>
        <w:snapToGrid w:val="0"/>
        <w:spacing w:before="156" w:beforeLines="50" w:after="156" w:afterLines="50"/>
        <w:ind w:firstLine="480" w:firstLineChars="200"/>
        <w:jc w:val="both"/>
        <w:rPr>
          <w:rFonts w:hint="eastAsia"/>
          <w:sz w:val="24"/>
        </w:rPr>
      </w:pPr>
      <w:r>
        <w:rPr>
          <w:b/>
          <w:bCs/>
          <w:sz w:val="24"/>
        </w:rPr>
        <w:t>1. </w:t>
      </w:r>
      <w:r>
        <w:rPr>
          <w:rFonts w:hint="eastAsia"/>
          <w:b/>
          <w:bCs/>
          <w:sz w:val="24"/>
        </w:rPr>
        <w:t>理论基础</w:t>
      </w:r>
    </w:p>
    <w:p w14:paraId="05CC2776">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掌握生成式人工智能（AIGC）基本原理、主流多模态模型运行逻辑与提示词工程核心方法。系统学习影视叙事、视听语言、分镜设计、影像叙事学等影视专业核心理论；熟悉AIGC内容创作伦理规范、版权制度与深度合成相关法规；了解数字内容产业、融媒体传播、数字营销等行业基础理论与发展规律，构建“AI技术+影视创作+行业规范”三位一体的理论框架。</w:t>
      </w:r>
    </w:p>
    <w:p w14:paraId="04128268">
      <w:pPr>
        <w:adjustRightInd w:val="0"/>
        <w:snapToGrid w:val="0"/>
        <w:spacing w:before="156" w:beforeLines="50" w:after="156" w:afterLines="50"/>
        <w:ind w:firstLine="480" w:firstLineChars="200"/>
        <w:jc w:val="both"/>
        <w:rPr>
          <w:rFonts w:hint="eastAsia"/>
          <w:sz w:val="24"/>
        </w:rPr>
      </w:pPr>
      <w:r>
        <w:rPr>
          <w:b/>
          <w:bCs/>
          <w:sz w:val="24"/>
        </w:rPr>
        <w:t>2. </w:t>
      </w:r>
      <w:r>
        <w:rPr>
          <w:rFonts w:hint="eastAsia"/>
          <w:b/>
          <w:bCs/>
          <w:sz w:val="24"/>
        </w:rPr>
        <w:t>实践能力</w:t>
      </w:r>
    </w:p>
    <w:p w14:paraId="55218D85">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课程整合当前主流AIGC影视工具矩阵（涵盖文生图、文生视频、图生视频、智能剪辑、AI配音配乐等全链路），具备AI生成内容筛选、优化和再创作与项目执行落地能力，可胜任影视、广告与融媒体等领域一线实战工作。构建从创意构思→剧本生成→分镜设计→视频生成→后期合成→成片输出的完整工作流。期末项目采用“行业真实命题”，学生分组模拟AIGC影视工作室运作，经历需求分析、方案设计、技术选型、迭代优化与作品交付的全流程。优秀作品将推荐参加AIGC影视赛事或纳入校企合作案例库，实现“学—练—展—用”闭环。</w:t>
      </w:r>
    </w:p>
    <w:p w14:paraId="033F1AEF">
      <w:pPr>
        <w:adjustRightInd w:val="0"/>
        <w:snapToGrid w:val="0"/>
        <w:spacing w:before="156" w:beforeLines="50" w:after="156" w:afterLines="50"/>
        <w:ind w:firstLine="480" w:firstLineChars="200"/>
        <w:jc w:val="both"/>
        <w:rPr>
          <w:rFonts w:hint="eastAsia"/>
          <w:sz w:val="24"/>
        </w:rPr>
      </w:pPr>
      <w:r>
        <w:rPr>
          <w:b/>
          <w:bCs/>
          <w:sz w:val="24"/>
        </w:rPr>
        <w:t>3. </w:t>
      </w:r>
      <w:r>
        <w:rPr>
          <w:rFonts w:hint="eastAsia"/>
          <w:b/>
          <w:bCs/>
          <w:sz w:val="24"/>
        </w:rPr>
        <w:t>市场与政策</w:t>
      </w:r>
    </w:p>
    <w:p w14:paraId="26F900B8">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从市场方面，国家“数字中国”战略与“文化强国”目标下，个性化、高效能、低成本的视觉内容创作成为刚需。一方面，传统影视教育滞后于技术迭代，市场面临巨大的人才缺口；另一方面，全民创作时代到来，教育、文旅、融媒体等领域急需可驾驭AIGC工具进行专业化影视表达的应用型人才。课程旨在培养具备AI思维与影视素养的创新型人才，服务于数字内容产业升级与国家文化软实力提升。</w:t>
      </w:r>
    </w:p>
    <w:p w14:paraId="399D47AC">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从政策方面，当前AIGC影视政策呈现国家与地方双向发力、鼓励创新与规范发展并重的格局。国家层面，六部门鼓励AI应用于电影后期制作，广电总局推动AIGC全流程融合，出台《生成式人工智能服务管理暂行办法》及内容标识规定，并启动“微短剧+”行动计划，专设AIGC单元。地方层面，江苏、湖南等省配套扶持项目与人才，政策有效促进了技术落地、产业升级与合规治理。</w:t>
      </w:r>
    </w:p>
    <w:p w14:paraId="61D35E22">
      <w:pPr>
        <w:adjustRightInd w:val="0"/>
        <w:snapToGrid w:val="0"/>
        <w:spacing w:before="156" w:beforeLines="50" w:after="156" w:afterLines="50"/>
        <w:ind w:firstLine="480" w:firstLineChars="200"/>
        <w:jc w:val="both"/>
        <w:rPr>
          <w:rFonts w:hint="eastAsia"/>
          <w:sz w:val="24"/>
        </w:rPr>
      </w:pPr>
      <w:r>
        <w:rPr>
          <w:b/>
          <w:bCs/>
          <w:sz w:val="24"/>
        </w:rPr>
        <w:t>4. </w:t>
      </w:r>
      <w:r>
        <w:rPr>
          <w:rFonts w:hint="eastAsia"/>
          <w:b/>
          <w:bCs/>
          <w:sz w:val="24"/>
        </w:rPr>
        <w:t>社会责任与职业道德</w:t>
      </w:r>
    </w:p>
    <w:p w14:paraId="04CF3797">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引导学生树立正确的科技伦理与信息安全观念，恪守AI生成内容版权规范，树立数字内容创作底线；具备良好的版权意识、隐私保护意识与信息甄别能力，自觉抵制虚假、低俗、侵权等不良内容生产；坚守传媒从业者与内容创作者的职业操守，秉持人文素养与社会责任感，坚持正向价值引领，创作符合社会主流价值观、有益于文化传播与精神文明建设的优质 AIGC 内容。</w:t>
      </w:r>
    </w:p>
    <w:p w14:paraId="1C944B4A">
      <w:pPr>
        <w:adjustRightInd w:val="0"/>
        <w:snapToGrid w:val="0"/>
        <w:spacing w:before="156" w:beforeLines="50" w:after="156" w:afterLines="50"/>
        <w:jc w:val="both"/>
        <w:rPr>
          <w:rFonts w:hint="eastAsia"/>
          <w:sz w:val="24"/>
        </w:rPr>
      </w:pPr>
      <w:r>
        <w:rPr>
          <w:rFonts w:hint="eastAsia"/>
          <w:b/>
          <w:bCs/>
          <w:sz w:val="24"/>
        </w:rPr>
        <w:t>三、专业特色</w:t>
      </w:r>
    </w:p>
    <w:p w14:paraId="0019088A">
      <w:pPr>
        <w:adjustRightInd w:val="0"/>
        <w:snapToGrid w:val="0"/>
        <w:spacing w:before="156" w:beforeLines="50" w:after="156" w:afterLines="50"/>
        <w:ind w:firstLine="480" w:firstLineChars="200"/>
        <w:jc w:val="both"/>
        <w:rPr>
          <w:rFonts w:hint="eastAsia"/>
          <w:sz w:val="24"/>
        </w:rPr>
      </w:pPr>
      <w:r>
        <w:rPr>
          <w:b/>
          <w:bCs/>
          <w:sz w:val="24"/>
        </w:rPr>
        <w:t>1. </w:t>
      </w:r>
      <w:r>
        <w:rPr>
          <w:rFonts w:hint="eastAsia"/>
          <w:b/>
          <w:bCs/>
          <w:sz w:val="24"/>
        </w:rPr>
        <w:t>前沿课程设置</w:t>
      </w:r>
    </w:p>
    <w:p w14:paraId="5B694184">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本微专业紧扣AIGC 技术迭代与数字内容产业升级趋势，构建从基础入门到高阶创作、从技术应用到运营落地的完整前沿课程体系，开设AIGC应用基础、AI+创意与设计、AI+剧本创作、视效评估、作品包装与传播运营5门核心课程，形成“技术筑基—创意生成—内容创作—效果把控—传播运营”全链条培养路径。</w:t>
      </w:r>
    </w:p>
    <w:p w14:paraId="7003454F">
      <w:pPr>
        <w:adjustRightInd w:val="0"/>
        <w:snapToGrid w:val="0"/>
        <w:spacing w:before="156" w:beforeLines="50" w:after="156" w:afterLines="50"/>
        <w:ind w:firstLine="480" w:firstLineChars="200"/>
        <w:jc w:val="both"/>
        <w:rPr>
          <w:rFonts w:hint="eastAsia"/>
          <w:sz w:val="24"/>
        </w:rPr>
      </w:pPr>
      <w:r>
        <w:rPr>
          <w:b/>
          <w:bCs/>
          <w:sz w:val="24"/>
        </w:rPr>
        <w:t>2. </w:t>
      </w:r>
      <w:r>
        <w:rPr>
          <w:rFonts w:hint="eastAsia"/>
          <w:b/>
          <w:bCs/>
          <w:sz w:val="24"/>
        </w:rPr>
        <w:t>实践导向</w:t>
      </w:r>
    </w:p>
    <w:p w14:paraId="4886E5CE">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坚持项目驱动、产教融合、实战落地的实践教学理念，构建“课堂实操—专项训练—企业项目—成果产出”的完整实践链条。课程全程采用边讲边练、即学即用的工作坊模式，依托校内专业实验室与高性能工作站，开展AIGC工具实操、作品创作、视效调校等高强度训练；引入现代快报、徐州市新媒体协会等合作单位真实命题与商业项目，由校企双导师共同指导完成从创意到成片的全流程实战；注重成果转化与行业检验，优秀作品可参与展评、推荐实习就业，真正实现学习内容与岗位工作一致、课堂训练与产业需求无缝对接。</w:t>
      </w:r>
    </w:p>
    <w:p w14:paraId="7A2ADE48">
      <w:pPr>
        <w:adjustRightInd w:val="0"/>
        <w:snapToGrid w:val="0"/>
        <w:spacing w:before="156" w:beforeLines="50" w:after="156" w:afterLines="50"/>
        <w:ind w:firstLine="480" w:firstLineChars="200"/>
        <w:jc w:val="both"/>
        <w:rPr>
          <w:rFonts w:hint="eastAsia"/>
          <w:sz w:val="24"/>
        </w:rPr>
      </w:pPr>
      <w:r>
        <w:rPr>
          <w:b/>
          <w:bCs/>
          <w:sz w:val="24"/>
        </w:rPr>
        <w:t>3. </w:t>
      </w:r>
      <w:r>
        <w:rPr>
          <w:rFonts w:hint="eastAsia"/>
          <w:b/>
          <w:bCs/>
          <w:sz w:val="24"/>
        </w:rPr>
        <w:t>跨学科融合</w:t>
      </w:r>
    </w:p>
    <w:p w14:paraId="599E772D">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立足AI技术+影视创作+新闻传播深度交叉，打破传统专业边界，形成“技术有审美、创作有逻辑、运营有思维”的复合型培养格局。课程体系融合戏剧影视、广告学、新闻传播等多学科知识与方法。既加强AIGC应用、智能生成等技术能力，又夯实视听语言、叙事结构等艺术素养。同时提升内容传播、运营推广和流量思维等传媒能力。培养复合型人才，全面适配数智时代内容产业多元岗位需求。</w:t>
      </w:r>
    </w:p>
    <w:p w14:paraId="2F4EDF7A">
      <w:pPr>
        <w:adjustRightInd w:val="0"/>
        <w:snapToGrid w:val="0"/>
        <w:spacing w:before="156" w:beforeLines="50" w:after="156" w:afterLines="50"/>
        <w:ind w:firstLine="480" w:firstLineChars="200"/>
        <w:jc w:val="both"/>
        <w:rPr>
          <w:rFonts w:hint="eastAsia"/>
          <w:sz w:val="24"/>
        </w:rPr>
      </w:pPr>
      <w:r>
        <w:rPr>
          <w:b/>
          <w:bCs/>
          <w:sz w:val="24"/>
        </w:rPr>
        <w:t>4. </w:t>
      </w:r>
      <w:r>
        <w:rPr>
          <w:rFonts w:hint="eastAsia"/>
          <w:b/>
          <w:bCs/>
          <w:sz w:val="24"/>
        </w:rPr>
        <w:t>社会责任与可持续发展</w:t>
      </w:r>
    </w:p>
    <w:p w14:paraId="7FE014E5">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坚持伦理先行、规范使用AI正向创作的价值导向，将科技伦理、版权规范、信息安全与社会责任贯穿课程全过程。引导学生树立正确的AI应用观，严守深度合成技术使用边界、版权保护规则与内容创作底线，自觉抵制虚假、侵权、低俗等不良内容生产。强化人文素养与传媒责任，培养兼具技术能力、职业操守与社会担当的内容创作者。确保学生能够在合规、健康、可持续的道路上从事AIGC内容生产与传播工作，长期适配行业规范与社会发展要求。</w:t>
      </w:r>
    </w:p>
    <w:p w14:paraId="528EA3A1">
      <w:pPr>
        <w:adjustRightInd w:val="0"/>
        <w:snapToGrid w:val="0"/>
        <w:spacing w:before="156" w:beforeLines="50" w:after="156" w:afterLines="50"/>
        <w:jc w:val="both"/>
        <w:rPr>
          <w:rFonts w:hint="eastAsia"/>
          <w:sz w:val="24"/>
        </w:rPr>
      </w:pPr>
      <w:r>
        <w:rPr>
          <w:rFonts w:hint="eastAsia"/>
          <w:b/>
          <w:bCs/>
          <w:sz w:val="24"/>
        </w:rPr>
        <w:t>四、资源保障</w:t>
      </w:r>
    </w:p>
    <w:p w14:paraId="45283CDE">
      <w:pPr>
        <w:adjustRightInd w:val="0"/>
        <w:snapToGrid w:val="0"/>
        <w:spacing w:before="156" w:beforeLines="50" w:after="156" w:afterLines="50"/>
        <w:ind w:firstLine="480" w:firstLineChars="200"/>
        <w:jc w:val="both"/>
        <w:rPr>
          <w:rFonts w:hint="eastAsia"/>
          <w:sz w:val="24"/>
        </w:rPr>
      </w:pPr>
      <w:r>
        <w:rPr>
          <w:b/>
          <w:bCs/>
          <w:sz w:val="24"/>
        </w:rPr>
        <w:t>1. </w:t>
      </w:r>
      <w:r>
        <w:rPr>
          <w:rFonts w:hint="eastAsia"/>
          <w:b/>
          <w:bCs/>
          <w:sz w:val="24"/>
        </w:rPr>
        <w:t>教学团队</w:t>
      </w:r>
    </w:p>
    <w:p w14:paraId="33B3E146">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本微专业教学团队由校内专任教师与行业专家共同组成。师资力量雄厚、学科交叉优势显著。现有8位自有专任教师，学科背景涵盖新闻传播学、戏剧与影视学等多个门类，结构合理、交叉融合能力突出。其中教授2人，副教授4人，6位教师具有博士学位，理论功底扎实；4位教师具备行业实践经历，“双师型”特色鲜明，能够确保教学紧密对接产业实践。近五年，团队指导学生获国家级学科竞赛奖7项、省部级1项，获各级艺术创作奖26项，创新指导能力卓越。同时教师们教学经验丰富、实践能力突出，为微专业高质量开展提供坚实师资保障。</w:t>
      </w:r>
    </w:p>
    <w:p w14:paraId="16D5FEFE">
      <w:pPr>
        <w:adjustRightInd w:val="0"/>
        <w:snapToGrid w:val="0"/>
        <w:spacing w:before="156" w:beforeLines="50" w:after="156" w:afterLines="50"/>
        <w:ind w:firstLine="480" w:firstLineChars="200"/>
        <w:jc w:val="both"/>
        <w:rPr>
          <w:rFonts w:hint="eastAsia"/>
          <w:sz w:val="24"/>
        </w:rPr>
      </w:pPr>
      <w:r>
        <w:rPr>
          <w:b/>
          <w:bCs/>
          <w:sz w:val="24"/>
        </w:rPr>
        <w:t>2. </w:t>
      </w:r>
      <w:r>
        <w:rPr>
          <w:rFonts w:hint="eastAsia"/>
          <w:b/>
          <w:bCs/>
          <w:sz w:val="24"/>
        </w:rPr>
        <w:t>课程资源</w:t>
      </w:r>
    </w:p>
    <w:p w14:paraId="2AA41178">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依托校内AIGC影视实训室（配备高性能计算终端与主流工具账号），开展“课堂随练—专项实训—综合实战”三级实践训练。期末实施“项目周”集中创作，学生以3—5人小组完成完整AIGC影视作品，模拟行业敏捷开发流程。课程配套实训手册与典型工作流案例库，覆盖文案、图像、视频、音频等多模态生成任务。及时同步行业技术动态与优质创作案例，方便学生拓展学习深度。</w:t>
      </w:r>
    </w:p>
    <w:p w14:paraId="733EEF19">
      <w:pPr>
        <w:adjustRightInd w:val="0"/>
        <w:snapToGrid w:val="0"/>
        <w:spacing w:before="156" w:beforeLines="50" w:after="156" w:afterLines="50"/>
        <w:ind w:firstLine="480" w:firstLineChars="200"/>
        <w:jc w:val="both"/>
        <w:rPr>
          <w:rFonts w:hint="eastAsia"/>
          <w:sz w:val="24"/>
        </w:rPr>
      </w:pPr>
      <w:r>
        <w:rPr>
          <w:b/>
          <w:bCs/>
          <w:sz w:val="24"/>
        </w:rPr>
        <w:t>3. </w:t>
      </w:r>
      <w:r>
        <w:rPr>
          <w:rFonts w:hint="eastAsia"/>
          <w:b/>
          <w:bCs/>
          <w:sz w:val="24"/>
        </w:rPr>
        <w:t>创新创业平台</w:t>
      </w:r>
    </w:p>
    <w:p w14:paraId="50678F5D">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学院建有总面积1470.32平方米专业实验室，生均使用面积7平方米，配备高性能工作站、专业摄像机、动作捕捉系统等仪器设备700余台（套），设备总值超992 万元，可充分满足 AIGC 工具实训、智能剪辑、虚拟制片、视效评估等实践与创新创业需求。已共建13个高质量校外实习实训基地，包括徐州报业传媒集团新媒体中心、中影数字制作基地、艾迪普文化传媒、捷成工业等，为学生提供项目实战、岗位实习与创新创业场景。依托现代快报、徐州市新媒体协会等合作单位，搭建项目对接、作品展示、就业推荐平台，支持学生开展 AIGC 内容创作、IP 孵化、商业项目实践与竞赛参赛，形成“课程实训—项目创作—岗位实习—创新创业”完整平台支撑。</w:t>
      </w:r>
    </w:p>
    <w:p w14:paraId="2FF3B13D">
      <w:pPr>
        <w:adjustRightInd w:val="0"/>
        <w:snapToGrid w:val="0"/>
        <w:spacing w:before="156" w:beforeLines="50" w:after="156" w:afterLines="50"/>
        <w:ind w:firstLine="480" w:firstLineChars="200"/>
        <w:jc w:val="both"/>
        <w:rPr>
          <w:rFonts w:hint="eastAsia"/>
          <w:sz w:val="24"/>
        </w:rPr>
      </w:pPr>
      <w:r>
        <w:rPr>
          <w:b/>
          <w:bCs/>
          <w:sz w:val="24"/>
        </w:rPr>
        <w:t>4. </w:t>
      </w:r>
      <w:r>
        <w:rPr>
          <w:rFonts w:hint="eastAsia"/>
          <w:b/>
          <w:bCs/>
          <w:sz w:val="24"/>
        </w:rPr>
        <w:t>学术资源</w:t>
      </w:r>
    </w:p>
    <w:p w14:paraId="32E32B75">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依托我校广告学、新闻传播学、戏剧与影视学优势学科，提供丰富的专业图书、数据库与学术成果资源，支撑AIGC技术、影视创作、传播运营等领域理论学习与研究。学校将会定期邀请行业专家、企业导师开展学术讲座、工作坊与创作研讨，跟踪数字内容产业、AIGC技术前沿动态与学术成果；共享校企合作单位行业报告、技术白皮书、项目规范等产业学术资源，搭建学术研究+产业实践双向支撑的资源环境，助力学生提升专业素养与创新能力。.</w:t>
      </w:r>
    </w:p>
    <w:p w14:paraId="5006E71E">
      <w:pPr>
        <w:adjustRightInd w:val="0"/>
        <w:snapToGrid w:val="0"/>
        <w:spacing w:before="156" w:beforeLines="50" w:after="156" w:afterLines="50"/>
        <w:ind w:firstLine="480" w:firstLineChars="200"/>
        <w:jc w:val="both"/>
        <w:rPr>
          <w:rFonts w:hint="eastAsia"/>
          <w:sz w:val="24"/>
        </w:rPr>
      </w:pPr>
      <w:r>
        <w:rPr>
          <w:rFonts w:hint="eastAsia"/>
          <w:b/>
          <w:bCs/>
          <w:sz w:val="24"/>
        </w:rPr>
        <w:t>五、招生对象及条件</w:t>
      </w:r>
    </w:p>
    <w:p w14:paraId="33DD4BE8">
      <w:pPr>
        <w:adjustRightInd w:val="0"/>
        <w:snapToGrid w:val="0"/>
        <w:spacing w:before="156" w:beforeLines="50" w:after="156" w:afterLines="50"/>
        <w:ind w:firstLine="480" w:firstLineChars="200"/>
        <w:jc w:val="both"/>
        <w:rPr>
          <w:rFonts w:hint="eastAsia"/>
          <w:sz w:val="24"/>
        </w:rPr>
      </w:pPr>
      <w:r>
        <w:rPr>
          <w:rFonts w:hint="eastAsia"/>
          <w:b/>
          <w:bCs/>
          <w:sz w:val="24"/>
        </w:rPr>
        <w:t>（一）招生对象：</w:t>
      </w:r>
      <w:r>
        <w:rPr>
          <w:rFonts w:hint="eastAsia"/>
          <w:sz w:val="24"/>
        </w:rPr>
        <w:t>全日制本科生</w:t>
      </w:r>
    </w:p>
    <w:p w14:paraId="4BB5CD3C">
      <w:pPr>
        <w:adjustRightInd w:val="0"/>
        <w:snapToGrid w:val="0"/>
        <w:spacing w:before="156" w:beforeLines="50" w:after="156" w:afterLines="50"/>
        <w:ind w:firstLine="480" w:firstLineChars="200"/>
        <w:jc w:val="both"/>
        <w:rPr>
          <w:rFonts w:hint="eastAsia"/>
          <w:sz w:val="24"/>
        </w:rPr>
      </w:pPr>
      <w:r>
        <w:rPr>
          <w:rFonts w:hint="eastAsia"/>
          <w:b/>
          <w:bCs/>
          <w:sz w:val="24"/>
        </w:rPr>
        <w:t>（二）计划招生人数：</w:t>
      </w:r>
      <w:r>
        <w:rPr>
          <w:rFonts w:hint="eastAsia"/>
          <w:sz w:val="24"/>
        </w:rPr>
        <w:t>计划招生50人</w:t>
      </w:r>
    </w:p>
    <w:p w14:paraId="188F5B5A">
      <w:pPr>
        <w:adjustRightInd w:val="0"/>
        <w:snapToGrid w:val="0"/>
        <w:spacing w:before="156" w:beforeLines="50" w:after="156" w:afterLines="50"/>
        <w:ind w:firstLine="480" w:firstLineChars="200"/>
        <w:jc w:val="both"/>
        <w:rPr>
          <w:rFonts w:hint="eastAsia"/>
          <w:color w:val="EE0000"/>
          <w:sz w:val="24"/>
        </w:rPr>
      </w:pPr>
      <w:r>
        <w:rPr>
          <w:rFonts w:hint="eastAsia"/>
          <w:b/>
          <w:bCs/>
          <w:sz w:val="24"/>
        </w:rPr>
        <w:t>（三）学制、学分：</w:t>
      </w:r>
      <w:r>
        <w:rPr>
          <w:rFonts w:hint="eastAsia"/>
          <w:b/>
          <w:bCs/>
          <w:sz w:val="24"/>
          <w:lang w:val="en-US" w:eastAsia="zh-CN"/>
        </w:rPr>
        <w:t>2</w:t>
      </w:r>
      <w:r>
        <w:rPr>
          <w:rFonts w:hint="eastAsia"/>
          <w:b/>
          <w:bCs/>
          <w:sz w:val="24"/>
        </w:rPr>
        <w:t>学期，</w:t>
      </w:r>
      <w:r>
        <w:rPr>
          <w:rFonts w:hint="eastAsia"/>
          <w:b/>
          <w:bCs/>
          <w:sz w:val="24"/>
          <w:lang w:val="en-US" w:eastAsia="zh-CN"/>
        </w:rPr>
        <w:t>10</w:t>
      </w:r>
      <w:r>
        <w:rPr>
          <w:rFonts w:hint="eastAsia"/>
          <w:b/>
          <w:bCs/>
          <w:sz w:val="24"/>
        </w:rPr>
        <w:t>学分</w:t>
      </w:r>
    </w:p>
    <w:p w14:paraId="4EB05C64">
      <w:pPr>
        <w:adjustRightInd w:val="0"/>
        <w:snapToGrid w:val="0"/>
        <w:spacing w:before="156" w:beforeLines="50" w:after="156" w:afterLines="50"/>
        <w:ind w:firstLine="480" w:firstLineChars="200"/>
        <w:jc w:val="both"/>
        <w:rPr>
          <w:rFonts w:hint="eastAsia"/>
          <w:sz w:val="24"/>
        </w:rPr>
      </w:pPr>
      <w:r>
        <w:rPr>
          <w:rFonts w:hint="eastAsia"/>
          <w:b/>
          <w:bCs/>
          <w:sz w:val="24"/>
        </w:rPr>
        <w:t>（四）收费标准：</w:t>
      </w:r>
      <w:r>
        <w:rPr>
          <w:rFonts w:hint="eastAsia"/>
          <w:sz w:val="24"/>
        </w:rPr>
        <w:t>80元/分，合计</w:t>
      </w:r>
      <w:r>
        <w:rPr>
          <w:rFonts w:hint="eastAsia"/>
          <w:sz w:val="24"/>
          <w:lang w:val="en-US" w:eastAsia="zh-CN"/>
        </w:rPr>
        <w:t>800</w:t>
      </w:r>
      <w:r>
        <w:rPr>
          <w:rFonts w:hint="eastAsia"/>
          <w:sz w:val="24"/>
        </w:rPr>
        <w:t>元</w:t>
      </w:r>
    </w:p>
    <w:p w14:paraId="5ED55A38">
      <w:pPr>
        <w:adjustRightInd w:val="0"/>
        <w:snapToGrid w:val="0"/>
        <w:spacing w:before="156" w:beforeLines="50" w:after="156" w:afterLines="50"/>
        <w:ind w:firstLine="480" w:firstLineChars="200"/>
        <w:jc w:val="both"/>
        <w:rPr>
          <w:rFonts w:hint="eastAsia"/>
          <w:color w:val="EE0000"/>
          <w:sz w:val="24"/>
        </w:rPr>
      </w:pPr>
      <w:r>
        <w:rPr>
          <w:rFonts w:hint="eastAsia"/>
          <w:b/>
          <w:bCs/>
          <w:sz w:val="24"/>
        </w:rPr>
        <w:t>（五）授课方式：</w:t>
      </w:r>
      <w:r>
        <w:rPr>
          <w:rFonts w:hint="eastAsia"/>
          <w:sz w:val="24"/>
        </w:rPr>
        <w:t>本微专业独立开班，学制</w:t>
      </w:r>
      <w:r>
        <w:rPr>
          <w:rFonts w:hint="eastAsia"/>
          <w:sz w:val="24"/>
          <w:lang w:val="en-US" w:eastAsia="zh-CN"/>
        </w:rPr>
        <w:t>两个</w:t>
      </w:r>
      <w:r>
        <w:rPr>
          <w:rFonts w:hint="eastAsia"/>
          <w:sz w:val="24"/>
        </w:rPr>
        <w:t>学期，利用课余时间授课。线上线下混合式授课。</w:t>
      </w:r>
    </w:p>
    <w:p w14:paraId="39F2F3C8">
      <w:pPr>
        <w:adjustRightInd w:val="0"/>
        <w:snapToGrid w:val="0"/>
        <w:spacing w:before="156" w:beforeLines="50" w:after="156" w:afterLines="50"/>
        <w:ind w:firstLine="480" w:firstLineChars="200"/>
        <w:jc w:val="both"/>
        <w:rPr>
          <w:rFonts w:hint="eastAsia"/>
          <w:sz w:val="24"/>
        </w:rPr>
      </w:pPr>
      <w:r>
        <w:rPr>
          <w:rFonts w:hint="eastAsia"/>
          <w:b/>
          <w:bCs/>
          <w:sz w:val="24"/>
        </w:rPr>
        <w:t>六、学分认定与证书授予</w:t>
      </w:r>
    </w:p>
    <w:p w14:paraId="72BFEECD">
      <w:pPr>
        <w:adjustRightInd w:val="0"/>
        <w:snapToGrid w:val="0"/>
        <w:spacing w:before="156" w:beforeLines="50" w:after="156" w:afterLines="50"/>
        <w:ind w:firstLine="480" w:firstLineChars="200"/>
        <w:jc w:val="both"/>
      </w:pPr>
      <w:r>
        <w:rPr>
          <w:rFonts w:hint="eastAsia" w:ascii="宋体" w:hAnsi="宋体" w:eastAsia="宋体"/>
          <w:sz w:val="24"/>
        </w:rPr>
        <w:t>学生完成微专业培养方案规定的课程并达到学习要求，由微专业所在学院审核后提出结业名单，报教务处备案，由教务处统一颁发结业证书和成绩单；微专业是非学历教育</w:t>
      </w:r>
      <w:r>
        <w:rPr>
          <w:rFonts w:hint="eastAsia" w:ascii="宋体" w:hAnsi="宋体" w:eastAsia="宋体"/>
          <w:sz w:val="24"/>
          <w:lang w:eastAsia="zh-CN"/>
        </w:rPr>
        <w:t>，</w:t>
      </w:r>
      <w:r>
        <w:rPr>
          <w:rFonts w:hint="eastAsia" w:ascii="宋体" w:hAnsi="宋体" w:eastAsia="宋体"/>
          <w:sz w:val="24"/>
        </w:rPr>
        <w:t>不授予学位。</w:t>
      </w:r>
      <w:r>
        <w:rPr>
          <w:rFonts w:hint="eastAsia" w:ascii="宋体" w:hAnsi="宋体" w:eastAsia="宋体"/>
          <w:sz w:val="24"/>
          <w:lang w:val="en-US" w:eastAsia="zh-CN"/>
        </w:rPr>
        <w:t>如果本微专业成功入库教育部学信网获得备案，毕业生及用人单位可登录学信网查询相关</w:t>
      </w:r>
      <w:bookmarkStart w:id="2" w:name="_GoBack"/>
      <w:bookmarkEnd w:id="2"/>
      <w:r>
        <w:rPr>
          <w:rFonts w:hint="eastAsia" w:ascii="宋体" w:hAnsi="宋体" w:eastAsia="宋体"/>
          <w:sz w:val="24"/>
          <w:lang w:val="en-US" w:eastAsia="zh-CN"/>
        </w:rPr>
        <w:t>修读信息。</w:t>
      </w:r>
    </w:p>
    <w:p w14:paraId="387F068A">
      <w:pPr>
        <w:adjustRightInd w:val="0"/>
        <w:snapToGrid w:val="0"/>
        <w:spacing w:before="156" w:beforeLines="50" w:after="156" w:afterLines="50"/>
        <w:ind w:firstLine="480" w:firstLineChars="200"/>
        <w:jc w:val="both"/>
        <w:rPr>
          <w:rFonts w:hint="eastAsia"/>
          <w:sz w:val="24"/>
        </w:rPr>
      </w:pPr>
    </w:p>
    <w:p w14:paraId="7C2AAF86">
      <w:pPr>
        <w:adjustRightInd w:val="0"/>
        <w:snapToGrid w:val="0"/>
        <w:spacing w:before="156" w:beforeLines="50" w:after="156" w:afterLines="50"/>
        <w:ind w:firstLine="480" w:firstLineChars="200"/>
        <w:jc w:val="both"/>
        <w:rPr>
          <w:rFonts w:hint="eastAsia"/>
          <w:sz w:val="24"/>
        </w:rPr>
      </w:pPr>
      <w:r>
        <w:rPr>
          <w:rFonts w:hint="eastAsia"/>
          <w:b/>
          <w:bCs/>
          <w:sz w:val="24"/>
        </w:rPr>
        <w:t>七、微专业课程</w:t>
      </w:r>
    </w:p>
    <w:p w14:paraId="0C9CAE41">
      <w:pPr>
        <w:adjustRightInd w:val="0"/>
        <w:snapToGrid w:val="0"/>
        <w:spacing w:before="156" w:beforeLines="50" w:after="156" w:afterLines="50"/>
        <w:ind w:firstLine="480" w:firstLineChars="200"/>
        <w:jc w:val="both"/>
        <w:rPr>
          <w:rFonts w:hint="eastAsia"/>
          <w:b/>
          <w:bCs/>
          <w:sz w:val="24"/>
        </w:rPr>
      </w:pPr>
      <w:r>
        <w:rPr>
          <w:rFonts w:hint="eastAsia"/>
          <w:b/>
          <w:bCs/>
          <w:sz w:val="24"/>
        </w:rPr>
        <w:t>（一）课程设置及学时分配表</w:t>
      </w:r>
    </w:p>
    <w:tbl>
      <w:tblPr>
        <w:tblStyle w:val="15"/>
        <w:tblW w:w="5000" w:type="pct"/>
        <w:tblInd w:w="0" w:type="dxa"/>
        <w:tblLayout w:type="autofit"/>
        <w:tblCellMar>
          <w:top w:w="0" w:type="dxa"/>
          <w:left w:w="0" w:type="dxa"/>
          <w:bottom w:w="0" w:type="dxa"/>
          <w:right w:w="0" w:type="dxa"/>
        </w:tblCellMar>
      </w:tblPr>
      <w:tblGrid>
        <w:gridCol w:w="1049"/>
        <w:gridCol w:w="2491"/>
        <w:gridCol w:w="1049"/>
        <w:gridCol w:w="1073"/>
        <w:gridCol w:w="1540"/>
        <w:gridCol w:w="1410"/>
      </w:tblGrid>
      <w:tr w14:paraId="570ECA25">
        <w:tblPrEx>
          <w:tblCellMar>
            <w:top w:w="0" w:type="dxa"/>
            <w:left w:w="0" w:type="dxa"/>
            <w:bottom w:w="0" w:type="dxa"/>
            <w:right w:w="0" w:type="dxa"/>
          </w:tblCellMar>
        </w:tblPrEx>
        <w:trPr>
          <w:trHeight w:val="521" w:hRule="atLeast"/>
        </w:trPr>
        <w:tc>
          <w:tcPr>
            <w:tcW w:w="60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1D5AFC7">
            <w:pPr>
              <w:adjustRightInd w:val="0"/>
              <w:snapToGrid w:val="0"/>
              <w:spacing w:before="156" w:beforeLines="50" w:after="156" w:afterLines="50"/>
              <w:jc w:val="center"/>
              <w:rPr>
                <w:rFonts w:hint="eastAsia"/>
                <w:sz w:val="24"/>
              </w:rPr>
            </w:pPr>
            <w:r>
              <w:rPr>
                <w:rFonts w:hint="eastAsia"/>
                <w:sz w:val="24"/>
              </w:rPr>
              <w:t>序号</w:t>
            </w:r>
          </w:p>
        </w:tc>
        <w:tc>
          <w:tcPr>
            <w:tcW w:w="14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DC56007">
            <w:pPr>
              <w:adjustRightInd w:val="0"/>
              <w:snapToGrid w:val="0"/>
              <w:spacing w:before="156" w:beforeLines="50" w:after="156" w:afterLines="50"/>
              <w:jc w:val="center"/>
              <w:rPr>
                <w:rFonts w:hint="eastAsia"/>
                <w:sz w:val="24"/>
              </w:rPr>
            </w:pPr>
            <w:r>
              <w:rPr>
                <w:rFonts w:hint="eastAsia"/>
                <w:sz w:val="24"/>
              </w:rPr>
              <w:t>课程名称</w:t>
            </w:r>
          </w:p>
        </w:tc>
        <w:tc>
          <w:tcPr>
            <w:tcW w:w="60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801B467">
            <w:pPr>
              <w:adjustRightInd w:val="0"/>
              <w:snapToGrid w:val="0"/>
              <w:spacing w:before="156" w:beforeLines="50" w:after="156" w:afterLines="50"/>
              <w:jc w:val="center"/>
              <w:rPr>
                <w:rFonts w:hint="eastAsia"/>
                <w:sz w:val="24"/>
              </w:rPr>
            </w:pPr>
            <w:r>
              <w:rPr>
                <w:rFonts w:hint="eastAsia"/>
                <w:sz w:val="24"/>
              </w:rPr>
              <w:t>学分</w:t>
            </w:r>
          </w:p>
        </w:tc>
        <w:tc>
          <w:tcPr>
            <w:tcW w:w="62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44728E50">
            <w:pPr>
              <w:adjustRightInd w:val="0"/>
              <w:snapToGrid w:val="0"/>
              <w:spacing w:before="156" w:beforeLines="50" w:after="156" w:afterLines="50"/>
              <w:jc w:val="center"/>
              <w:rPr>
                <w:rFonts w:hint="eastAsia"/>
                <w:sz w:val="24"/>
              </w:rPr>
            </w:pPr>
            <w:r>
              <w:rPr>
                <w:rFonts w:hint="eastAsia"/>
                <w:sz w:val="24"/>
              </w:rPr>
              <w:t>学时</w:t>
            </w:r>
          </w:p>
        </w:tc>
        <w:tc>
          <w:tcPr>
            <w:tcW w:w="89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9CA640F">
            <w:pPr>
              <w:adjustRightInd w:val="0"/>
              <w:snapToGrid w:val="0"/>
              <w:spacing w:before="156" w:beforeLines="50" w:after="156" w:afterLines="50"/>
              <w:jc w:val="center"/>
              <w:rPr>
                <w:rFonts w:hint="eastAsia"/>
                <w:sz w:val="24"/>
              </w:rPr>
            </w:pPr>
            <w:r>
              <w:rPr>
                <w:rFonts w:hint="eastAsia"/>
                <w:sz w:val="24"/>
              </w:rPr>
              <w:t>开设学期</w:t>
            </w:r>
          </w:p>
        </w:tc>
        <w:tc>
          <w:tcPr>
            <w:tcW w:w="81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46D7AD9">
            <w:pPr>
              <w:adjustRightInd w:val="0"/>
              <w:snapToGrid w:val="0"/>
              <w:spacing w:before="156" w:beforeLines="50" w:after="156" w:afterLines="50"/>
              <w:jc w:val="center"/>
              <w:rPr>
                <w:rFonts w:hint="eastAsia"/>
                <w:sz w:val="24"/>
              </w:rPr>
            </w:pPr>
            <w:r>
              <w:rPr>
                <w:rFonts w:hint="eastAsia"/>
                <w:sz w:val="24"/>
              </w:rPr>
              <w:t>课程性质</w:t>
            </w:r>
          </w:p>
        </w:tc>
      </w:tr>
      <w:tr w14:paraId="201F209D">
        <w:tblPrEx>
          <w:tblCellMar>
            <w:top w:w="0" w:type="dxa"/>
            <w:left w:w="0" w:type="dxa"/>
            <w:bottom w:w="0" w:type="dxa"/>
            <w:right w:w="0" w:type="dxa"/>
          </w:tblCellMar>
        </w:tblPrEx>
        <w:trPr>
          <w:trHeight w:val="521" w:hRule="atLeast"/>
        </w:trPr>
        <w:tc>
          <w:tcPr>
            <w:tcW w:w="60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D6DDC2F">
            <w:pPr>
              <w:adjustRightInd w:val="0"/>
              <w:snapToGrid w:val="0"/>
              <w:spacing w:before="156" w:beforeLines="50" w:after="156" w:afterLines="50"/>
              <w:jc w:val="center"/>
              <w:rPr>
                <w:rFonts w:hint="eastAsia"/>
                <w:sz w:val="24"/>
              </w:rPr>
            </w:pPr>
            <w:r>
              <w:rPr>
                <w:rFonts w:hint="eastAsia"/>
                <w:sz w:val="24"/>
              </w:rPr>
              <w:t>1</w:t>
            </w:r>
          </w:p>
        </w:tc>
        <w:tc>
          <w:tcPr>
            <w:tcW w:w="14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AA4E2BF">
            <w:pPr>
              <w:adjustRightInd w:val="0"/>
              <w:snapToGrid w:val="0"/>
              <w:spacing w:before="156" w:beforeLines="50" w:after="156" w:afterLines="50"/>
              <w:jc w:val="center"/>
              <w:rPr>
                <w:rFonts w:hint="eastAsia"/>
                <w:sz w:val="24"/>
              </w:rPr>
            </w:pPr>
            <w:bookmarkStart w:id="0" w:name="_Hlk168565787"/>
            <w:bookmarkEnd w:id="0"/>
            <w:r>
              <w:rPr>
                <w:rFonts w:hint="eastAsia"/>
                <w:sz w:val="24"/>
              </w:rPr>
              <w:t>AIGC应用基础</w:t>
            </w:r>
          </w:p>
        </w:tc>
        <w:tc>
          <w:tcPr>
            <w:tcW w:w="60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29B93FA">
            <w:pPr>
              <w:adjustRightInd w:val="0"/>
              <w:snapToGrid w:val="0"/>
              <w:spacing w:before="156" w:beforeLines="50" w:after="156" w:afterLines="50"/>
              <w:jc w:val="center"/>
              <w:rPr>
                <w:rFonts w:hint="eastAsia"/>
                <w:sz w:val="24"/>
              </w:rPr>
            </w:pPr>
            <w:r>
              <w:rPr>
                <w:rFonts w:hint="eastAsia"/>
                <w:sz w:val="24"/>
              </w:rPr>
              <w:t>3</w:t>
            </w:r>
          </w:p>
        </w:tc>
        <w:tc>
          <w:tcPr>
            <w:tcW w:w="62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588A872">
            <w:pPr>
              <w:adjustRightInd w:val="0"/>
              <w:snapToGrid w:val="0"/>
              <w:spacing w:before="156" w:beforeLines="50" w:after="156" w:afterLines="50"/>
              <w:jc w:val="center"/>
              <w:rPr>
                <w:rFonts w:hint="eastAsia"/>
                <w:sz w:val="24"/>
              </w:rPr>
            </w:pPr>
            <w:r>
              <w:rPr>
                <w:rFonts w:hint="eastAsia"/>
                <w:sz w:val="24"/>
              </w:rPr>
              <w:t>42</w:t>
            </w:r>
          </w:p>
        </w:tc>
        <w:tc>
          <w:tcPr>
            <w:tcW w:w="89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6B31A53">
            <w:pPr>
              <w:adjustRightInd w:val="0"/>
              <w:snapToGrid w:val="0"/>
              <w:spacing w:before="156" w:beforeLines="50" w:after="156" w:afterLines="50"/>
              <w:jc w:val="center"/>
              <w:rPr>
                <w:rFonts w:hint="eastAsia"/>
                <w:sz w:val="24"/>
              </w:rPr>
            </w:pPr>
            <w:r>
              <w:rPr>
                <w:rFonts w:hint="eastAsia"/>
                <w:sz w:val="24"/>
              </w:rPr>
              <w:t>一学期</w:t>
            </w:r>
          </w:p>
        </w:tc>
        <w:tc>
          <w:tcPr>
            <w:tcW w:w="81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0058DD5">
            <w:pPr>
              <w:adjustRightInd w:val="0"/>
              <w:snapToGrid w:val="0"/>
              <w:spacing w:before="156" w:beforeLines="50" w:after="156" w:afterLines="50"/>
              <w:jc w:val="center"/>
              <w:rPr>
                <w:rFonts w:hint="eastAsia"/>
                <w:sz w:val="24"/>
              </w:rPr>
            </w:pPr>
            <w:r>
              <w:rPr>
                <w:rFonts w:hint="eastAsia"/>
                <w:sz w:val="24"/>
              </w:rPr>
              <w:t>必修</w:t>
            </w:r>
          </w:p>
        </w:tc>
      </w:tr>
      <w:tr w14:paraId="2F7F2C38">
        <w:tblPrEx>
          <w:tblCellMar>
            <w:top w:w="0" w:type="dxa"/>
            <w:left w:w="0" w:type="dxa"/>
            <w:bottom w:w="0" w:type="dxa"/>
            <w:right w:w="0" w:type="dxa"/>
          </w:tblCellMar>
        </w:tblPrEx>
        <w:trPr>
          <w:trHeight w:val="522" w:hRule="atLeast"/>
        </w:trPr>
        <w:tc>
          <w:tcPr>
            <w:tcW w:w="60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532E0CE">
            <w:pPr>
              <w:adjustRightInd w:val="0"/>
              <w:snapToGrid w:val="0"/>
              <w:spacing w:before="156" w:beforeLines="50" w:after="156" w:afterLines="50"/>
              <w:jc w:val="center"/>
              <w:rPr>
                <w:rFonts w:hint="eastAsia"/>
                <w:sz w:val="24"/>
              </w:rPr>
            </w:pPr>
            <w:r>
              <w:rPr>
                <w:rFonts w:hint="eastAsia"/>
                <w:sz w:val="24"/>
              </w:rPr>
              <w:t>2</w:t>
            </w:r>
          </w:p>
        </w:tc>
        <w:tc>
          <w:tcPr>
            <w:tcW w:w="14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BE71A65">
            <w:pPr>
              <w:adjustRightInd w:val="0"/>
              <w:snapToGrid w:val="0"/>
              <w:spacing w:before="156" w:beforeLines="50" w:after="156" w:afterLines="50"/>
              <w:jc w:val="center"/>
              <w:rPr>
                <w:rFonts w:hint="eastAsia"/>
                <w:sz w:val="24"/>
              </w:rPr>
            </w:pPr>
            <w:r>
              <w:rPr>
                <w:rFonts w:hint="eastAsia"/>
                <w:sz w:val="24"/>
              </w:rPr>
              <w:t>AI+创意与设计</w:t>
            </w:r>
          </w:p>
        </w:tc>
        <w:tc>
          <w:tcPr>
            <w:tcW w:w="60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BEC938C">
            <w:pPr>
              <w:adjustRightInd w:val="0"/>
              <w:snapToGrid w:val="0"/>
              <w:spacing w:before="156" w:beforeLines="50" w:after="156" w:afterLines="50"/>
              <w:jc w:val="center"/>
              <w:rPr>
                <w:rFonts w:hint="eastAsia" w:eastAsiaTheme="minorEastAsia"/>
                <w:sz w:val="24"/>
                <w:lang w:val="en-US" w:eastAsia="zh-CN"/>
              </w:rPr>
            </w:pPr>
            <w:r>
              <w:rPr>
                <w:rFonts w:hint="eastAsia"/>
                <w:sz w:val="24"/>
                <w:lang w:val="en-US" w:eastAsia="zh-CN"/>
              </w:rPr>
              <w:t>2</w:t>
            </w:r>
          </w:p>
        </w:tc>
        <w:tc>
          <w:tcPr>
            <w:tcW w:w="62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DE52944">
            <w:pPr>
              <w:adjustRightInd w:val="0"/>
              <w:snapToGrid w:val="0"/>
              <w:spacing w:before="156" w:beforeLines="50" w:after="156" w:afterLines="50"/>
              <w:jc w:val="center"/>
              <w:rPr>
                <w:rFonts w:hint="eastAsia"/>
                <w:sz w:val="24"/>
              </w:rPr>
            </w:pPr>
            <w:r>
              <w:rPr>
                <w:rFonts w:hint="eastAsia"/>
                <w:sz w:val="24"/>
              </w:rPr>
              <w:t>16</w:t>
            </w:r>
          </w:p>
        </w:tc>
        <w:tc>
          <w:tcPr>
            <w:tcW w:w="89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B6CF384">
            <w:pPr>
              <w:adjustRightInd w:val="0"/>
              <w:snapToGrid w:val="0"/>
              <w:spacing w:before="156" w:beforeLines="50" w:after="156" w:afterLines="50"/>
              <w:jc w:val="center"/>
              <w:rPr>
                <w:rFonts w:hint="eastAsia"/>
                <w:sz w:val="24"/>
              </w:rPr>
            </w:pPr>
            <w:r>
              <w:rPr>
                <w:rFonts w:hint="eastAsia"/>
                <w:sz w:val="24"/>
              </w:rPr>
              <w:t>一学期</w:t>
            </w:r>
          </w:p>
        </w:tc>
        <w:tc>
          <w:tcPr>
            <w:tcW w:w="81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DC6D250">
            <w:pPr>
              <w:adjustRightInd w:val="0"/>
              <w:snapToGrid w:val="0"/>
              <w:spacing w:before="156" w:beforeLines="50" w:after="156" w:afterLines="50"/>
              <w:jc w:val="center"/>
              <w:rPr>
                <w:rFonts w:hint="eastAsia"/>
                <w:sz w:val="24"/>
              </w:rPr>
            </w:pPr>
            <w:r>
              <w:rPr>
                <w:rFonts w:hint="eastAsia"/>
                <w:sz w:val="24"/>
              </w:rPr>
              <w:t>必修</w:t>
            </w:r>
          </w:p>
        </w:tc>
      </w:tr>
      <w:tr w14:paraId="0FD0FC87">
        <w:tblPrEx>
          <w:tblCellMar>
            <w:top w:w="0" w:type="dxa"/>
            <w:left w:w="0" w:type="dxa"/>
            <w:bottom w:w="0" w:type="dxa"/>
            <w:right w:w="0" w:type="dxa"/>
          </w:tblCellMar>
        </w:tblPrEx>
        <w:trPr>
          <w:trHeight w:val="521" w:hRule="atLeast"/>
        </w:trPr>
        <w:tc>
          <w:tcPr>
            <w:tcW w:w="60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CD01C10">
            <w:pPr>
              <w:adjustRightInd w:val="0"/>
              <w:snapToGrid w:val="0"/>
              <w:spacing w:before="156" w:beforeLines="50" w:after="156" w:afterLines="50"/>
              <w:jc w:val="center"/>
              <w:rPr>
                <w:rFonts w:hint="eastAsia"/>
                <w:sz w:val="24"/>
              </w:rPr>
            </w:pPr>
            <w:r>
              <w:rPr>
                <w:rFonts w:hint="eastAsia"/>
                <w:sz w:val="24"/>
              </w:rPr>
              <w:t>3</w:t>
            </w:r>
          </w:p>
        </w:tc>
        <w:tc>
          <w:tcPr>
            <w:tcW w:w="14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6D162BD">
            <w:pPr>
              <w:adjustRightInd w:val="0"/>
              <w:snapToGrid w:val="0"/>
              <w:spacing w:before="156" w:beforeLines="50" w:after="156" w:afterLines="50"/>
              <w:jc w:val="center"/>
              <w:rPr>
                <w:rFonts w:hint="eastAsia"/>
                <w:sz w:val="24"/>
              </w:rPr>
            </w:pPr>
            <w:r>
              <w:rPr>
                <w:rFonts w:hint="eastAsia"/>
                <w:sz w:val="24"/>
              </w:rPr>
              <w:t>AI+剧本创作</w:t>
            </w:r>
          </w:p>
        </w:tc>
        <w:tc>
          <w:tcPr>
            <w:tcW w:w="60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9C5A6BA">
            <w:pPr>
              <w:adjustRightInd w:val="0"/>
              <w:snapToGrid w:val="0"/>
              <w:spacing w:before="156" w:beforeLines="50" w:after="156" w:afterLines="50"/>
              <w:jc w:val="center"/>
              <w:rPr>
                <w:rFonts w:hint="eastAsia" w:eastAsiaTheme="minorEastAsia"/>
                <w:sz w:val="24"/>
                <w:lang w:val="en-US" w:eastAsia="zh-CN"/>
              </w:rPr>
            </w:pPr>
            <w:r>
              <w:rPr>
                <w:rFonts w:hint="eastAsia"/>
                <w:sz w:val="24"/>
                <w:lang w:val="en-US" w:eastAsia="zh-CN"/>
              </w:rPr>
              <w:t>2</w:t>
            </w:r>
          </w:p>
        </w:tc>
        <w:tc>
          <w:tcPr>
            <w:tcW w:w="62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E9A2502">
            <w:pPr>
              <w:adjustRightInd w:val="0"/>
              <w:snapToGrid w:val="0"/>
              <w:spacing w:before="156" w:beforeLines="50" w:after="156" w:afterLines="50"/>
              <w:jc w:val="center"/>
              <w:rPr>
                <w:rFonts w:hint="eastAsia"/>
                <w:sz w:val="24"/>
              </w:rPr>
            </w:pPr>
            <w:r>
              <w:rPr>
                <w:rFonts w:hint="eastAsia"/>
                <w:sz w:val="24"/>
              </w:rPr>
              <w:t>16</w:t>
            </w:r>
          </w:p>
        </w:tc>
        <w:tc>
          <w:tcPr>
            <w:tcW w:w="89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A8A85E1">
            <w:pPr>
              <w:adjustRightInd w:val="0"/>
              <w:snapToGrid w:val="0"/>
              <w:spacing w:before="156" w:beforeLines="50" w:after="156" w:afterLines="50"/>
              <w:jc w:val="center"/>
              <w:rPr>
                <w:rFonts w:hint="eastAsia"/>
                <w:sz w:val="24"/>
              </w:rPr>
            </w:pPr>
            <w:r>
              <w:rPr>
                <w:rFonts w:hint="eastAsia"/>
                <w:sz w:val="24"/>
                <w:lang w:val="en-US" w:eastAsia="zh-CN"/>
              </w:rPr>
              <w:t>二</w:t>
            </w:r>
            <w:r>
              <w:rPr>
                <w:rFonts w:hint="eastAsia"/>
                <w:sz w:val="24"/>
              </w:rPr>
              <w:t>学期</w:t>
            </w:r>
          </w:p>
        </w:tc>
        <w:tc>
          <w:tcPr>
            <w:tcW w:w="81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F3F05DE">
            <w:pPr>
              <w:adjustRightInd w:val="0"/>
              <w:snapToGrid w:val="0"/>
              <w:spacing w:before="156" w:beforeLines="50" w:after="156" w:afterLines="50"/>
              <w:jc w:val="center"/>
              <w:rPr>
                <w:rFonts w:hint="eastAsia"/>
                <w:sz w:val="24"/>
              </w:rPr>
            </w:pPr>
            <w:r>
              <w:rPr>
                <w:rFonts w:hint="eastAsia"/>
                <w:sz w:val="24"/>
              </w:rPr>
              <w:t>必修</w:t>
            </w:r>
          </w:p>
        </w:tc>
      </w:tr>
      <w:tr w14:paraId="68230548">
        <w:tblPrEx>
          <w:tblCellMar>
            <w:top w:w="0" w:type="dxa"/>
            <w:left w:w="0" w:type="dxa"/>
            <w:bottom w:w="0" w:type="dxa"/>
            <w:right w:w="0" w:type="dxa"/>
          </w:tblCellMar>
        </w:tblPrEx>
        <w:trPr>
          <w:trHeight w:val="522" w:hRule="atLeast"/>
        </w:trPr>
        <w:tc>
          <w:tcPr>
            <w:tcW w:w="60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F748994">
            <w:pPr>
              <w:adjustRightInd w:val="0"/>
              <w:snapToGrid w:val="0"/>
              <w:spacing w:before="156" w:beforeLines="50" w:after="156" w:afterLines="50"/>
              <w:jc w:val="center"/>
              <w:rPr>
                <w:rFonts w:hint="eastAsia"/>
                <w:sz w:val="24"/>
              </w:rPr>
            </w:pPr>
            <w:r>
              <w:rPr>
                <w:rFonts w:hint="eastAsia"/>
                <w:sz w:val="24"/>
              </w:rPr>
              <w:t>4</w:t>
            </w:r>
          </w:p>
        </w:tc>
        <w:tc>
          <w:tcPr>
            <w:tcW w:w="14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4CED7FF">
            <w:pPr>
              <w:adjustRightInd w:val="0"/>
              <w:snapToGrid w:val="0"/>
              <w:spacing w:before="156" w:beforeLines="50" w:after="156" w:afterLines="50"/>
              <w:jc w:val="center"/>
              <w:rPr>
                <w:rFonts w:hint="eastAsia"/>
                <w:sz w:val="24"/>
              </w:rPr>
            </w:pPr>
            <w:r>
              <w:rPr>
                <w:rFonts w:hint="eastAsia"/>
                <w:sz w:val="24"/>
              </w:rPr>
              <w:t>视效评估</w:t>
            </w:r>
          </w:p>
        </w:tc>
        <w:tc>
          <w:tcPr>
            <w:tcW w:w="60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E411452">
            <w:pPr>
              <w:adjustRightInd w:val="0"/>
              <w:snapToGrid w:val="0"/>
              <w:spacing w:before="156" w:beforeLines="50" w:after="156" w:afterLines="50"/>
              <w:jc w:val="center"/>
              <w:rPr>
                <w:rFonts w:hint="eastAsia" w:eastAsiaTheme="minorEastAsia"/>
                <w:sz w:val="24"/>
                <w:lang w:val="en-US" w:eastAsia="zh-CN"/>
              </w:rPr>
            </w:pPr>
            <w:r>
              <w:rPr>
                <w:rFonts w:hint="eastAsia"/>
                <w:sz w:val="24"/>
                <w:lang w:val="en-US" w:eastAsia="zh-CN"/>
              </w:rPr>
              <w:t>2</w:t>
            </w:r>
          </w:p>
        </w:tc>
        <w:tc>
          <w:tcPr>
            <w:tcW w:w="62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1B580F5">
            <w:pPr>
              <w:adjustRightInd w:val="0"/>
              <w:snapToGrid w:val="0"/>
              <w:spacing w:before="156" w:beforeLines="50" w:after="156" w:afterLines="50"/>
              <w:jc w:val="center"/>
              <w:rPr>
                <w:rFonts w:hint="eastAsia"/>
                <w:sz w:val="24"/>
              </w:rPr>
            </w:pPr>
            <w:r>
              <w:rPr>
                <w:rFonts w:hint="eastAsia"/>
                <w:sz w:val="24"/>
              </w:rPr>
              <w:t>16</w:t>
            </w:r>
          </w:p>
        </w:tc>
        <w:tc>
          <w:tcPr>
            <w:tcW w:w="89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B20F173">
            <w:pPr>
              <w:adjustRightInd w:val="0"/>
              <w:snapToGrid w:val="0"/>
              <w:spacing w:before="156" w:beforeLines="50" w:after="156" w:afterLines="50"/>
              <w:jc w:val="center"/>
              <w:rPr>
                <w:rFonts w:hint="eastAsia"/>
                <w:sz w:val="24"/>
              </w:rPr>
            </w:pPr>
            <w:r>
              <w:rPr>
                <w:rFonts w:hint="eastAsia"/>
                <w:sz w:val="24"/>
                <w:lang w:val="en-US" w:eastAsia="zh-CN"/>
              </w:rPr>
              <w:t>二</w:t>
            </w:r>
            <w:r>
              <w:rPr>
                <w:rFonts w:hint="eastAsia"/>
                <w:sz w:val="24"/>
              </w:rPr>
              <w:t>学期</w:t>
            </w:r>
          </w:p>
        </w:tc>
        <w:tc>
          <w:tcPr>
            <w:tcW w:w="81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9DB9655">
            <w:pPr>
              <w:adjustRightInd w:val="0"/>
              <w:snapToGrid w:val="0"/>
              <w:spacing w:before="156" w:beforeLines="50" w:after="156" w:afterLines="50"/>
              <w:jc w:val="center"/>
              <w:rPr>
                <w:rFonts w:hint="eastAsia"/>
                <w:sz w:val="24"/>
              </w:rPr>
            </w:pPr>
            <w:r>
              <w:rPr>
                <w:rFonts w:hint="eastAsia"/>
                <w:sz w:val="24"/>
              </w:rPr>
              <w:t>必修</w:t>
            </w:r>
          </w:p>
        </w:tc>
      </w:tr>
      <w:tr w14:paraId="25988258">
        <w:tblPrEx>
          <w:tblCellMar>
            <w:top w:w="0" w:type="dxa"/>
            <w:left w:w="0" w:type="dxa"/>
            <w:bottom w:w="0" w:type="dxa"/>
            <w:right w:w="0" w:type="dxa"/>
          </w:tblCellMar>
        </w:tblPrEx>
        <w:trPr>
          <w:trHeight w:val="521" w:hRule="atLeast"/>
        </w:trPr>
        <w:tc>
          <w:tcPr>
            <w:tcW w:w="60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28E8329">
            <w:pPr>
              <w:adjustRightInd w:val="0"/>
              <w:snapToGrid w:val="0"/>
              <w:spacing w:before="156" w:beforeLines="50" w:after="156" w:afterLines="50"/>
              <w:jc w:val="center"/>
              <w:rPr>
                <w:rFonts w:hint="eastAsia"/>
                <w:sz w:val="24"/>
              </w:rPr>
            </w:pPr>
            <w:r>
              <w:rPr>
                <w:rFonts w:hint="eastAsia"/>
                <w:sz w:val="24"/>
              </w:rPr>
              <w:t>5</w:t>
            </w:r>
          </w:p>
        </w:tc>
        <w:tc>
          <w:tcPr>
            <w:tcW w:w="1446"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04A73DE">
            <w:pPr>
              <w:adjustRightInd w:val="0"/>
              <w:snapToGrid w:val="0"/>
              <w:spacing w:before="156" w:beforeLines="50" w:after="156" w:afterLines="50"/>
              <w:jc w:val="center"/>
              <w:rPr>
                <w:rFonts w:hint="eastAsia"/>
                <w:sz w:val="24"/>
              </w:rPr>
            </w:pPr>
            <w:bookmarkStart w:id="1" w:name="_Hlk168565965"/>
            <w:bookmarkEnd w:id="1"/>
            <w:r>
              <w:rPr>
                <w:rFonts w:hint="eastAsia"/>
                <w:sz w:val="24"/>
              </w:rPr>
              <w:t>作品包装与传播运营</w:t>
            </w:r>
          </w:p>
        </w:tc>
        <w:tc>
          <w:tcPr>
            <w:tcW w:w="609"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34BD96C">
            <w:pPr>
              <w:adjustRightInd w:val="0"/>
              <w:snapToGrid w:val="0"/>
              <w:spacing w:before="156" w:beforeLines="50" w:after="156" w:afterLines="50"/>
              <w:jc w:val="center"/>
              <w:rPr>
                <w:rFonts w:hint="eastAsia"/>
                <w:sz w:val="24"/>
              </w:rPr>
            </w:pPr>
            <w:r>
              <w:rPr>
                <w:rFonts w:hint="eastAsia"/>
                <w:sz w:val="24"/>
              </w:rPr>
              <w:t>1</w:t>
            </w:r>
          </w:p>
        </w:tc>
        <w:tc>
          <w:tcPr>
            <w:tcW w:w="62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FE0F2E8">
            <w:pPr>
              <w:adjustRightInd w:val="0"/>
              <w:snapToGrid w:val="0"/>
              <w:spacing w:before="156" w:beforeLines="50" w:after="156" w:afterLines="50"/>
              <w:jc w:val="center"/>
              <w:rPr>
                <w:rFonts w:hint="eastAsia"/>
                <w:sz w:val="24"/>
              </w:rPr>
            </w:pPr>
            <w:r>
              <w:rPr>
                <w:rFonts w:hint="eastAsia"/>
                <w:sz w:val="24"/>
              </w:rPr>
              <w:t>14</w:t>
            </w:r>
          </w:p>
        </w:tc>
        <w:tc>
          <w:tcPr>
            <w:tcW w:w="89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3D36CA0">
            <w:pPr>
              <w:adjustRightInd w:val="0"/>
              <w:snapToGrid w:val="0"/>
              <w:spacing w:before="156" w:beforeLines="50" w:after="156" w:afterLines="50"/>
              <w:jc w:val="center"/>
              <w:rPr>
                <w:rFonts w:hint="eastAsia"/>
                <w:sz w:val="24"/>
              </w:rPr>
            </w:pPr>
            <w:r>
              <w:rPr>
                <w:rFonts w:hint="eastAsia"/>
                <w:sz w:val="24"/>
                <w:lang w:val="en-US" w:eastAsia="zh-CN"/>
              </w:rPr>
              <w:t>二</w:t>
            </w:r>
            <w:r>
              <w:rPr>
                <w:rFonts w:hint="eastAsia"/>
                <w:sz w:val="24"/>
              </w:rPr>
              <w:t>学期</w:t>
            </w:r>
          </w:p>
        </w:tc>
        <w:tc>
          <w:tcPr>
            <w:tcW w:w="818"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0FAEE66">
            <w:pPr>
              <w:adjustRightInd w:val="0"/>
              <w:snapToGrid w:val="0"/>
              <w:spacing w:before="156" w:beforeLines="50" w:after="156" w:afterLines="50"/>
              <w:jc w:val="center"/>
              <w:rPr>
                <w:rFonts w:hint="eastAsia"/>
                <w:sz w:val="24"/>
              </w:rPr>
            </w:pPr>
            <w:r>
              <w:rPr>
                <w:rFonts w:hint="eastAsia"/>
                <w:sz w:val="24"/>
              </w:rPr>
              <w:t>必修</w:t>
            </w:r>
          </w:p>
        </w:tc>
      </w:tr>
    </w:tbl>
    <w:p w14:paraId="66962895">
      <w:pPr>
        <w:adjustRightInd w:val="0"/>
        <w:snapToGrid w:val="0"/>
        <w:spacing w:before="156" w:beforeLines="50" w:after="156" w:afterLines="50"/>
        <w:ind w:firstLine="480" w:firstLineChars="200"/>
        <w:jc w:val="both"/>
        <w:rPr>
          <w:rFonts w:hint="eastAsia"/>
          <w:sz w:val="24"/>
        </w:rPr>
      </w:pPr>
      <w:r>
        <w:rPr>
          <w:rFonts w:hint="eastAsia"/>
          <w:b/>
          <w:bCs/>
          <w:sz w:val="24"/>
        </w:rPr>
        <w:t>（二）课程简介</w:t>
      </w:r>
    </w:p>
    <w:p w14:paraId="299FD30B">
      <w:pPr>
        <w:adjustRightInd w:val="0"/>
        <w:snapToGrid w:val="0"/>
        <w:spacing w:before="156" w:beforeLines="50" w:after="156" w:afterLines="50"/>
        <w:ind w:firstLine="480" w:firstLineChars="200"/>
        <w:jc w:val="both"/>
        <w:rPr>
          <w:rFonts w:hint="eastAsia"/>
          <w:b/>
          <w:bCs/>
          <w:sz w:val="24"/>
        </w:rPr>
      </w:pPr>
      <w:r>
        <w:rPr>
          <w:rFonts w:hint="eastAsia"/>
          <w:b/>
          <w:bCs/>
          <w:sz w:val="24"/>
        </w:rPr>
        <w:t>1. AIGC应用基础</w:t>
      </w:r>
    </w:p>
    <w:p w14:paraId="73700A96">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本课程旨在系统讲解人工智能生成内容（</w:t>
      </w:r>
      <w:r>
        <w:rPr>
          <w:rFonts w:ascii="宋体" w:hAnsi="宋体" w:eastAsia="宋体"/>
          <w:sz w:val="24"/>
        </w:rPr>
        <w:t>AIGC）的核心技术及其在各行业的应用实践。课程从AIGC通识与安全合规入手，逐步深入讲解AI办公自动化、AI图像生成与设计、AI视频生成、数字人技术、虚拟合成，以及AI智能体基础开发。通过本课程学习，学员将能够熟练运用主流AIGC工具，完成从内容创意到生成落地的全流程实践，培养在AI时代利用先进技术提升工作效率和创造力的能力。</w:t>
      </w:r>
    </w:p>
    <w:p w14:paraId="2C53022C">
      <w:pPr>
        <w:adjustRightInd w:val="0"/>
        <w:snapToGrid w:val="0"/>
        <w:spacing w:before="156" w:beforeLines="50" w:after="156" w:afterLines="50"/>
        <w:ind w:firstLine="480" w:firstLineChars="200"/>
        <w:jc w:val="both"/>
        <w:rPr>
          <w:rFonts w:hint="eastAsia"/>
          <w:b/>
          <w:bCs/>
          <w:sz w:val="24"/>
        </w:rPr>
      </w:pPr>
      <w:r>
        <w:rPr>
          <w:rFonts w:hint="eastAsia"/>
          <w:b/>
          <w:bCs/>
          <w:sz w:val="24"/>
        </w:rPr>
        <w:t>2. AI+创意与设计</w:t>
      </w:r>
    </w:p>
    <w:p w14:paraId="07871832">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本课程为微专业核心技能课，系统讲授 AIGC 视觉创意与设计的全流程方法与实战技能，依托 Midjourney、Stable Diffusion 等主流工具，覆盖视觉风格化、虚拟场景构建、画面精修和多模态素材整合等核心能力，融合影视视听语言与商业设计逻辑，围绕广告视觉、IP形象、分镜画面和虚拟制片场景等实战需求，培养学生独立完成高质量视觉素材创作、创意设计与商业落地的能力，为后续视频生成与内容成片提供专业视觉支撑。</w:t>
      </w:r>
    </w:p>
    <w:p w14:paraId="64B7F135">
      <w:pPr>
        <w:adjustRightInd w:val="0"/>
        <w:snapToGrid w:val="0"/>
        <w:spacing w:before="156" w:beforeLines="50" w:after="156" w:afterLines="50"/>
        <w:ind w:firstLine="480" w:firstLineChars="200"/>
        <w:jc w:val="both"/>
        <w:rPr>
          <w:rFonts w:hint="eastAsia"/>
          <w:sz w:val="24"/>
        </w:rPr>
      </w:pPr>
      <w:r>
        <w:rPr>
          <w:rFonts w:hint="eastAsia"/>
          <w:b/>
          <w:bCs/>
          <w:sz w:val="24"/>
        </w:rPr>
        <w:t>3. AI+剧本创作</w:t>
      </w:r>
    </w:p>
    <w:p w14:paraId="7FAD5D2F">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课程结合当前</w:t>
      </w:r>
      <w:r>
        <w:rPr>
          <w:rFonts w:ascii="宋体" w:hAnsi="宋体" w:eastAsia="宋体"/>
          <w:sz w:val="24"/>
        </w:rPr>
        <w:t>AI参与影视策划、短剧生产、数字IP开发与虚拟内容创作的发展趋势，围绕AI时代影视叙事方式的变化，系统讲授AI在故事开发、人物塑造、戏剧结构生成与互动叙事中的应用，引导学生理解“人机协同创作”的特点和规律，训练学生运用AI工具进行故事生成、角色关系构建、分场设计与对话优化，并结合类型片、短视频与网络叙事展开实践创作，培养学生面向未来智能影视工业的叙事创新能力。</w:t>
      </w:r>
    </w:p>
    <w:p w14:paraId="38DCD999">
      <w:pPr>
        <w:adjustRightInd w:val="0"/>
        <w:snapToGrid w:val="0"/>
        <w:spacing w:before="156" w:beforeLines="50" w:after="156" w:afterLines="50"/>
        <w:ind w:firstLine="480" w:firstLineChars="200"/>
        <w:jc w:val="both"/>
        <w:rPr>
          <w:rFonts w:hint="eastAsia"/>
          <w:sz w:val="24"/>
        </w:rPr>
      </w:pPr>
      <w:r>
        <w:rPr>
          <w:rFonts w:hint="eastAsia"/>
          <w:b/>
          <w:bCs/>
          <w:sz w:val="24"/>
        </w:rPr>
        <w:t>4. 视效评估</w:t>
      </w:r>
    </w:p>
    <w:p w14:paraId="0B949070">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本课程聚焦</w:t>
      </w:r>
      <w:r>
        <w:rPr>
          <w:rFonts w:ascii="宋体" w:hAnsi="宋体" w:eastAsia="宋体"/>
          <w:sz w:val="24"/>
        </w:rPr>
        <w:t>AIGC时代下的视觉内容质量评价体系，系统讲授视效要素拆解、评估标准构建、主观与客观测试方法，以及AI生成影像的失真检测、美学判断与用户感知分析。结合生成对抗网络、扩散模型等案例，培养学生运用量化指标与人工研判相结合的能力，为影视、广告、虚拟制作等领域提供科学的视效把关与优化决策支持。</w:t>
      </w:r>
    </w:p>
    <w:p w14:paraId="5D75C199">
      <w:pPr>
        <w:adjustRightInd w:val="0"/>
        <w:snapToGrid w:val="0"/>
        <w:spacing w:before="156" w:beforeLines="50" w:after="156" w:afterLines="50"/>
        <w:ind w:firstLine="480" w:firstLineChars="200"/>
        <w:jc w:val="both"/>
        <w:rPr>
          <w:rFonts w:hint="eastAsia"/>
          <w:b/>
          <w:bCs/>
          <w:sz w:val="24"/>
        </w:rPr>
      </w:pPr>
      <w:r>
        <w:rPr>
          <w:rFonts w:hint="eastAsia"/>
          <w:b/>
          <w:bCs/>
          <w:sz w:val="24"/>
        </w:rPr>
        <w:t>5. 作品包装与传播运营</w:t>
      </w:r>
    </w:p>
    <w:p w14:paraId="0990EB2B">
      <w:pPr>
        <w:adjustRightInd w:val="0"/>
        <w:snapToGrid w:val="0"/>
        <w:spacing w:before="156" w:beforeLines="50" w:after="156" w:afterLines="50"/>
        <w:ind w:firstLine="480" w:firstLineChars="200"/>
        <w:jc w:val="both"/>
        <w:rPr>
          <w:rFonts w:hint="eastAsia" w:ascii="宋体" w:hAnsi="宋体" w:eastAsia="宋体"/>
          <w:sz w:val="24"/>
        </w:rPr>
      </w:pPr>
      <w:r>
        <w:rPr>
          <w:rFonts w:hint="eastAsia" w:ascii="宋体" w:hAnsi="宋体" w:eastAsia="宋体"/>
          <w:sz w:val="24"/>
        </w:rPr>
        <w:t>本课程是</w:t>
      </w:r>
      <w:r>
        <w:rPr>
          <w:rFonts w:ascii="宋体" w:hAnsi="宋体" w:eastAsia="宋体"/>
          <w:sz w:val="24"/>
        </w:rPr>
        <w:t>AI影视项目制教学流程的收官环节。学生将以《视效评估》课程产出的、具备完整叙事与统一风格的AI影视成片为基础，系统学习如何将其包装、推广并推向市场。课程聚焦于影视项目的市场定位、整合营销物料开发、多平台发行策略、数据驱动运营及商业价值呈现。通过实战，学生将完成从“创作者”到“项目运营者”的思维转变，掌握将AI影视作品转化为具有市场影响力的文化产品全流程。</w:t>
      </w:r>
    </w:p>
    <w:p w14:paraId="179A8945">
      <w:pPr>
        <w:adjustRightInd w:val="0"/>
        <w:snapToGrid w:val="0"/>
        <w:spacing w:before="156" w:beforeLines="50" w:after="156" w:afterLines="50"/>
        <w:ind w:firstLine="480" w:firstLineChars="200"/>
        <w:jc w:val="both"/>
        <w:rPr>
          <w:rFonts w:hint="eastAsia"/>
          <w:sz w:val="24"/>
        </w:rPr>
      </w:pPr>
      <w:r>
        <w:rPr>
          <w:rFonts w:hint="eastAsia"/>
          <w:b/>
          <w:bCs/>
          <w:sz w:val="24"/>
        </w:rPr>
        <w:t>八、报名和咨询</w:t>
      </w:r>
    </w:p>
    <w:p w14:paraId="4BEE19E2">
      <w:pPr>
        <w:rPr>
          <w:rFonts w:hint="eastAsia" w:eastAsiaTheme="minorEastAsia"/>
          <w:lang w:eastAsia="zh-CN"/>
        </w:rPr>
      </w:pPr>
      <w:r>
        <w:drawing>
          <wp:inline distT="0" distB="0" distL="114300" distR="114300">
            <wp:extent cx="2061210" cy="2534920"/>
            <wp:effectExtent l="0" t="0" r="15240" b="1778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2061210" cy="2534920"/>
                    </a:xfrm>
                    <a:prstGeom prst="rect">
                      <a:avLst/>
                    </a:prstGeom>
                    <a:noFill/>
                    <a:ln>
                      <a:noFill/>
                    </a:ln>
                  </pic:spPr>
                </pic:pic>
              </a:graphicData>
            </a:graphic>
          </wp:inline>
        </w:drawing>
      </w:r>
    </w:p>
    <w:p w14:paraId="0053546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有意报名的同学请</w:t>
      </w:r>
      <w:r>
        <w:rPr>
          <w:rFonts w:hint="eastAsia" w:ascii="宋体" w:hAnsi="宋体" w:eastAsia="宋体" w:cs="宋体"/>
          <w:color w:val="000000" w:themeColor="text1"/>
          <w:sz w:val="24"/>
          <w:lang w:val="en-US" w:eastAsia="zh-CN"/>
          <w14:textFill>
            <w14:solidFill>
              <w14:schemeClr w14:val="tx1"/>
            </w14:solidFill>
          </w14:textFill>
        </w:rPr>
        <w:t>加QQ群（群号：1107773495），</w:t>
      </w:r>
      <w:r>
        <w:rPr>
          <w:rFonts w:hint="eastAsia" w:ascii="宋体" w:hAnsi="宋体" w:eastAsia="宋体" w:cs="宋体"/>
          <w:color w:val="000000" w:themeColor="text1"/>
          <w:sz w:val="24"/>
          <w14:textFill>
            <w14:solidFill>
              <w14:schemeClr w14:val="tx1"/>
            </w14:solidFill>
          </w14:textFill>
        </w:rPr>
        <w:t>下载填写《江苏师范大学学生微专业申请表》，并于</w:t>
      </w:r>
      <w:r>
        <w:rPr>
          <w:rFonts w:hint="eastAsia" w:ascii="宋体" w:hAnsi="宋体" w:eastAsia="宋体" w:cs="宋体"/>
          <w:color w:val="000000" w:themeColor="text1"/>
          <w:sz w:val="24"/>
          <w:lang w:val="en-US" w:eastAsia="zh-CN"/>
          <w14:textFill>
            <w14:solidFill>
              <w14:schemeClr w14:val="tx1"/>
            </w14:solidFill>
          </w14:textFill>
        </w:rPr>
        <w:t>10</w:t>
      </w:r>
      <w:r>
        <w:rPr>
          <w:rFonts w:hint="eastAsia" w:ascii="宋体" w:hAnsi="宋体" w:eastAsia="宋体" w:cs="宋体"/>
          <w:color w:val="000000" w:themeColor="text1"/>
          <w:sz w:val="24"/>
          <w14:textFill>
            <w14:solidFill>
              <w14:schemeClr w14:val="tx1"/>
            </w14:solidFill>
          </w14:textFill>
        </w:rPr>
        <w:t>月</w:t>
      </w:r>
      <w:r>
        <w:rPr>
          <w:rFonts w:hint="eastAsia" w:ascii="宋体" w:hAnsi="宋体" w:eastAsia="宋体" w:cs="宋体"/>
          <w:color w:val="000000" w:themeColor="text1"/>
          <w:sz w:val="24"/>
          <w:lang w:val="en-US" w:eastAsia="zh-CN"/>
          <w14:textFill>
            <w14:solidFill>
              <w14:schemeClr w14:val="tx1"/>
            </w14:solidFill>
          </w14:textFill>
        </w:rPr>
        <w:t>26</w:t>
      </w:r>
      <w:r>
        <w:rPr>
          <w:rFonts w:hint="eastAsia" w:ascii="宋体" w:hAnsi="宋体" w:eastAsia="宋体" w:cs="宋体"/>
          <w:color w:val="000000" w:themeColor="text1"/>
          <w:sz w:val="24"/>
          <w14:textFill>
            <w14:solidFill>
              <w14:schemeClr w14:val="tx1"/>
            </w14:solidFill>
          </w14:textFill>
        </w:rPr>
        <w:t>日</w:t>
      </w:r>
      <w:r>
        <w:rPr>
          <w:rFonts w:hint="eastAsia" w:ascii="宋体" w:hAnsi="宋体" w:eastAsia="宋体" w:cs="宋体"/>
          <w:color w:val="000000" w:themeColor="text1"/>
          <w:sz w:val="24"/>
          <w:lang w:val="en-US" w:eastAsia="zh-CN"/>
          <w14:textFill>
            <w14:solidFill>
              <w14:schemeClr w14:val="tx1"/>
            </w14:solidFill>
          </w14:textFill>
        </w:rPr>
        <w:t>17:00</w:t>
      </w:r>
      <w:r>
        <w:rPr>
          <w:rFonts w:hint="eastAsia" w:ascii="宋体" w:hAnsi="宋体" w:eastAsia="宋体" w:cs="宋体"/>
          <w:color w:val="000000" w:themeColor="text1"/>
          <w:sz w:val="24"/>
          <w14:textFill>
            <w14:solidFill>
              <w14:schemeClr w14:val="tx1"/>
            </w14:solidFill>
          </w14:textFill>
        </w:rPr>
        <w:t>前报送至</w:t>
      </w:r>
      <w:r>
        <w:rPr>
          <w:rFonts w:hint="eastAsia" w:ascii="宋体" w:hAnsi="宋体" w:eastAsia="宋体" w:cs="宋体"/>
          <w:color w:val="000000" w:themeColor="text1"/>
          <w:sz w:val="24"/>
          <w:lang w:val="en-US" w:eastAsia="zh-CN"/>
          <w14:textFill>
            <w14:solidFill>
              <w14:schemeClr w14:val="tx1"/>
            </w14:solidFill>
          </w14:textFill>
        </w:rPr>
        <w:t>艺术学部</w:t>
      </w:r>
      <w:r>
        <w:rPr>
          <w:rFonts w:hint="eastAsia" w:ascii="宋体" w:hAnsi="宋体" w:eastAsia="宋体" w:cs="宋体"/>
          <w:color w:val="000000" w:themeColor="text1"/>
          <w:sz w:val="24"/>
          <w14:textFill>
            <w14:solidFill>
              <w14:schemeClr w14:val="tx1"/>
            </w14:solidFill>
          </w14:textFill>
        </w:rPr>
        <w:t>教务办公室</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lang w:val="en-US" w:eastAsia="zh-CN"/>
          <w14:textFill>
            <w14:solidFill>
              <w14:schemeClr w14:val="tx1"/>
            </w14:solidFill>
          </w14:textFill>
        </w:rPr>
        <w:t>22号楼225室</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w:t>
      </w:r>
    </w:p>
    <w:p w14:paraId="3B2C41C8">
      <w:pPr>
        <w:spacing w:line="360" w:lineRule="auto"/>
        <w:ind w:firstLine="480" w:firstLineChars="200"/>
        <w:rPr>
          <w:rFonts w:hint="default"/>
          <w:lang w:val="en-US" w:eastAsia="zh-CN"/>
        </w:rPr>
      </w:pPr>
      <w:r>
        <w:rPr>
          <w:rFonts w:hint="eastAsia" w:ascii="宋体" w:hAnsi="宋体" w:eastAsia="宋体" w:cs="宋体"/>
          <w:color w:val="000000" w:themeColor="text1"/>
          <w:sz w:val="24"/>
          <w14:textFill>
            <w14:solidFill>
              <w14:schemeClr w14:val="tx1"/>
            </w14:solidFill>
          </w14:textFill>
        </w:rPr>
        <w:t>工作咨询、联系人：</w:t>
      </w:r>
      <w:r>
        <w:rPr>
          <w:rFonts w:hint="eastAsia" w:ascii="宋体" w:hAnsi="宋体" w:eastAsia="宋体" w:cs="宋体"/>
          <w:color w:val="000000" w:themeColor="text1"/>
          <w:sz w:val="24"/>
          <w:lang w:val="en-US" w:eastAsia="zh-CN"/>
          <w14:textFill>
            <w14:solidFill>
              <w14:schemeClr w14:val="tx1"/>
            </w14:solidFill>
          </w14:textFill>
        </w:rPr>
        <w:t>朱老师 0516-83656677</w:t>
      </w:r>
      <w:r>
        <w:rPr>
          <w:rFonts w:hint="eastAsia" w:ascii="宋体" w:hAnsi="宋体" w:eastAsia="宋体" w:cs="宋体"/>
          <w:color w:val="000000" w:themeColor="text1"/>
          <w:sz w:val="24"/>
          <w14:textFill>
            <w14:solidFill>
              <w14:schemeClr w14:val="tx1"/>
            </w14:solidFill>
          </w14:textFill>
        </w:rPr>
        <w:t>。</w:t>
      </w:r>
    </w:p>
    <w:sectPr>
      <w:pgSz w:w="11906" w:h="16838"/>
      <w:pgMar w:top="1440" w:right="1797" w:bottom="1440"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774"/>
    <w:rsid w:val="000030E1"/>
    <w:rsid w:val="00084876"/>
    <w:rsid w:val="0013134F"/>
    <w:rsid w:val="001A1EC7"/>
    <w:rsid w:val="001C46F8"/>
    <w:rsid w:val="00325ACC"/>
    <w:rsid w:val="00424534"/>
    <w:rsid w:val="004510A3"/>
    <w:rsid w:val="00487A59"/>
    <w:rsid w:val="004A4F75"/>
    <w:rsid w:val="00511CE7"/>
    <w:rsid w:val="00536180"/>
    <w:rsid w:val="00570EED"/>
    <w:rsid w:val="00630A57"/>
    <w:rsid w:val="00644824"/>
    <w:rsid w:val="00761564"/>
    <w:rsid w:val="0078492C"/>
    <w:rsid w:val="007F3FFF"/>
    <w:rsid w:val="008073EF"/>
    <w:rsid w:val="00893C7A"/>
    <w:rsid w:val="008A2774"/>
    <w:rsid w:val="009002FE"/>
    <w:rsid w:val="009613C3"/>
    <w:rsid w:val="00A6261C"/>
    <w:rsid w:val="00A95F8D"/>
    <w:rsid w:val="00B21122"/>
    <w:rsid w:val="00BA26FD"/>
    <w:rsid w:val="00C668DD"/>
    <w:rsid w:val="00C900F4"/>
    <w:rsid w:val="00CB657D"/>
    <w:rsid w:val="00D05706"/>
    <w:rsid w:val="00DA1402"/>
    <w:rsid w:val="00DA41BB"/>
    <w:rsid w:val="00DE0C00"/>
    <w:rsid w:val="00DE26E5"/>
    <w:rsid w:val="00E85A10"/>
    <w:rsid w:val="00EF0DE9"/>
    <w:rsid w:val="00F0612F"/>
    <w:rsid w:val="00FB4531"/>
    <w:rsid w:val="0D362521"/>
    <w:rsid w:val="28DF14E7"/>
    <w:rsid w:val="29C67F0D"/>
    <w:rsid w:val="31550F56"/>
    <w:rsid w:val="40001438"/>
    <w:rsid w:val="46C6215A"/>
    <w:rsid w:val="48BF5427"/>
    <w:rsid w:val="4B337A07"/>
    <w:rsid w:val="4E3C24E9"/>
    <w:rsid w:val="55EC35D4"/>
    <w:rsid w:val="5DC30E97"/>
    <w:rsid w:val="670F0ED0"/>
    <w:rsid w:val="71D25D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2"/>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6"/>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3">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明显强调1"/>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明显参考1"/>
    <w:basedOn w:val="16"/>
    <w:qFormat/>
    <w:uiPriority w:val="32"/>
    <w:rPr>
      <w:b/>
      <w:bCs/>
      <w:smallCaps/>
      <w:color w:val="104862" w:themeColor="accent1" w:themeShade="BF"/>
      <w:spacing w:val="5"/>
    </w:rPr>
  </w:style>
  <w:style w:type="paragraph" w:customStyle="1" w:styleId="35">
    <w:name w:val="western"/>
    <w:basedOn w:val="1"/>
    <w:qFormat/>
    <w:uiPriority w:val="0"/>
    <w:pPr>
      <w:widowControl/>
      <w:spacing w:before="100" w:beforeAutospacing="1" w:after="100" w:afterAutospacing="1" w:line="240" w:lineRule="auto"/>
    </w:pPr>
    <w:rPr>
      <w:rFonts w:ascii="宋体" w:hAnsi="宋体" w:eastAsia="宋体" w:cs="宋体"/>
      <w:kern w:val="0"/>
      <w:sz w:val="24"/>
      <w14:ligatures w14:val="none"/>
    </w:rPr>
  </w:style>
  <w:style w:type="character" w:customStyle="1" w:styleId="36">
    <w:name w:val="页眉 字符"/>
    <w:basedOn w:val="16"/>
    <w:link w:val="12"/>
    <w:qFormat/>
    <w:uiPriority w:val="99"/>
    <w:rPr>
      <w:kern w:val="2"/>
      <w:sz w:val="18"/>
      <w:szCs w:val="18"/>
      <w14:ligatures w14:val="standardContextual"/>
    </w:rPr>
  </w:style>
  <w:style w:type="character" w:customStyle="1" w:styleId="37">
    <w:name w:val="页脚 字符"/>
    <w:basedOn w:val="16"/>
    <w:link w:val="11"/>
    <w:qFormat/>
    <w:uiPriority w:val="99"/>
    <w:rPr>
      <w:kern w:val="2"/>
      <w:sz w:val="18"/>
      <w:szCs w:val="18"/>
      <w14:ligatures w14:val="standardContextu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5735</Words>
  <Characters>6018</Characters>
  <Lines>399</Lines>
  <Paragraphs>306</Paragraphs>
  <TotalTime>16</TotalTime>
  <ScaleCrop>false</ScaleCrop>
  <LinksUpToDate>false</LinksUpToDate>
  <CharactersWithSpaces>6055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2026-06-08T08:30:00Z</dcterms:created>
  <dc:creator>永乐 李</dc:creator>
  <cp:lastModifiedBy>灵灵</cp:lastModifiedBy>
  <dcterms:modified xsi:type="dcterms:W3CDTF">2026-10-21T10:06:52Z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eyJoZGlkIjoiNzRjNjBhOGU3ZTc5OWM0ZGEyMTM4ODNjODM0NWE0ZGQiLCJ1c2VySWQiOiI0OTA3MDkzODMifQ==</vt:lpwstr>
  </property>
  <property fmtid="{D5CDD505-2E9C-101B-9397-08002B2CF9AE}" pid="3" name="KSOProductBuildVer">
    <vt:lpwstr>2052-12.1.0.28802</vt:lpwstr>
  </property>
  <property fmtid="{D5CDD505-2E9C-101B-9397-08002B2CF9AE}" pid="4" name="ICV">
    <vt:lpwstr>2E7CD9F8F0BA4F76B507C0D75A6AF54B_13</vt:lpwstr>
  </property>
</Properties>
</file>