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BEA8E">
      <w:pPr>
        <w:spacing w:after="0" w:line="240" w:lineRule="auto"/>
        <w:jc w:val="center"/>
        <w:rPr>
          <w:rFonts w:hint="eastAsia" w:ascii="宋体" w:hAnsi="宋体" w:eastAsia="宋体" w:cs="宋体"/>
        </w:rPr>
      </w:pPr>
      <w:r>
        <w:rPr>
          <w:rFonts w:hint="eastAsia" w:ascii="宋体" w:hAnsi="宋体" w:eastAsia="宋体" w:cs="宋体"/>
          <w:b/>
          <w:sz w:val="32"/>
        </w:rPr>
        <w:t>江苏师范大学语文教师数智教学技能实训微专业</w:t>
      </w:r>
      <w:r>
        <w:rPr>
          <w:rFonts w:hint="eastAsia" w:ascii="宋体" w:hAnsi="宋体" w:eastAsia="宋体" w:cs="宋体"/>
          <w:b/>
          <w:sz w:val="32"/>
        </w:rPr>
        <w:br w:type="textWrapping"/>
      </w:r>
      <w:r>
        <w:rPr>
          <w:rFonts w:hint="eastAsia" w:ascii="宋体" w:hAnsi="宋体" w:eastAsia="宋体" w:cs="宋体"/>
          <w:b/>
          <w:sz w:val="32"/>
        </w:rPr>
        <w:t>招生简章</w:t>
      </w:r>
    </w:p>
    <w:p w14:paraId="0CC21C3C">
      <w:pPr>
        <w:spacing w:after="0" w:line="360" w:lineRule="auto"/>
        <w:rPr>
          <w:rFonts w:hint="eastAsia" w:ascii="宋体" w:hAnsi="宋体" w:eastAsia="宋体" w:cs="宋体"/>
        </w:rPr>
      </w:pPr>
      <w:r>
        <w:rPr>
          <w:rFonts w:hint="eastAsia" w:ascii="宋体" w:hAnsi="宋体" w:eastAsia="宋体" w:cs="宋体"/>
          <w:b/>
        </w:rPr>
        <w:t>一、微专业介绍</w:t>
      </w:r>
    </w:p>
    <w:p w14:paraId="0DC1EAB0">
      <w:pPr>
        <w:spacing w:after="0" w:line="240" w:lineRule="auto"/>
        <w:ind w:firstLine="440"/>
        <w:rPr>
          <w:rFonts w:hint="eastAsia" w:ascii="宋体" w:hAnsi="宋体" w:eastAsia="宋体" w:cs="宋体"/>
        </w:rPr>
      </w:pPr>
      <w:r>
        <w:rPr>
          <w:rFonts w:hint="eastAsia" w:ascii="宋体" w:hAnsi="宋体" w:eastAsia="宋体" w:cs="宋体"/>
        </w:rPr>
        <w:t>本专业面向我校所有学科及专业的本科生和硕士生开设，依托文学院汉语言文学（师范）专业建设，旨在以数智思维重塑语文教师的专业素养与教学能力，以“数字化+智能化”思维品质为内核，面向信息时代语文教师的专业发展需求，培养具备扎实语文学科素养、掌握数字技术与AI工具、能够胜任未来课堂语文教学的复合型教师。</w:t>
      </w:r>
    </w:p>
    <w:p w14:paraId="635520F3">
      <w:pPr>
        <w:spacing w:after="0" w:line="360" w:lineRule="auto"/>
        <w:rPr>
          <w:rFonts w:hint="eastAsia" w:ascii="宋体" w:hAnsi="宋体" w:eastAsia="宋体" w:cs="宋体"/>
        </w:rPr>
      </w:pPr>
      <w:r>
        <w:rPr>
          <w:rFonts w:hint="eastAsia" w:ascii="宋体" w:hAnsi="宋体" w:eastAsia="宋体" w:cs="宋体"/>
          <w:b/>
        </w:rPr>
        <w:t>二、培养目标</w:t>
      </w:r>
    </w:p>
    <w:p w14:paraId="53DE0143">
      <w:pPr>
        <w:spacing w:after="0" w:line="240" w:lineRule="auto"/>
        <w:rPr>
          <w:rFonts w:hint="eastAsia" w:ascii="宋体" w:hAnsi="宋体" w:eastAsia="宋体" w:cs="宋体"/>
        </w:rPr>
      </w:pPr>
      <w:r>
        <w:rPr>
          <w:rFonts w:hint="eastAsia" w:ascii="宋体" w:hAnsi="宋体" w:eastAsia="宋体" w:cs="宋体"/>
          <w:b/>
        </w:rPr>
        <w:t>（一）培养方向</w:t>
      </w:r>
    </w:p>
    <w:p w14:paraId="06E35244">
      <w:pPr>
        <w:spacing w:after="0" w:line="240" w:lineRule="auto"/>
        <w:ind w:firstLine="440"/>
        <w:rPr>
          <w:rFonts w:hint="eastAsia" w:ascii="宋体" w:hAnsi="宋体" w:eastAsia="宋体" w:cs="宋体"/>
        </w:rPr>
      </w:pPr>
      <w:r>
        <w:rPr>
          <w:rFonts w:hint="eastAsia" w:ascii="宋体" w:hAnsi="宋体" w:eastAsia="宋体" w:cs="宋体"/>
        </w:rPr>
        <w:t>培养一批具备数智化语文教学能力的准教师，增强学生对教师岗位的就业竞争力。</w:t>
      </w:r>
    </w:p>
    <w:p w14:paraId="59D7B5E5">
      <w:pPr>
        <w:spacing w:after="0" w:line="240" w:lineRule="auto"/>
        <w:rPr>
          <w:rFonts w:hint="eastAsia" w:ascii="宋体" w:hAnsi="宋体" w:eastAsia="宋体" w:cs="宋体"/>
        </w:rPr>
      </w:pPr>
      <w:r>
        <w:rPr>
          <w:rFonts w:hint="eastAsia" w:ascii="宋体" w:hAnsi="宋体" w:eastAsia="宋体" w:cs="宋体"/>
          <w:b/>
        </w:rPr>
        <w:t>（二）培养模式</w:t>
      </w:r>
    </w:p>
    <w:p w14:paraId="4369FF10">
      <w:pPr>
        <w:spacing w:after="0" w:line="240" w:lineRule="auto"/>
        <w:rPr>
          <w:rFonts w:hint="eastAsia" w:ascii="宋体" w:hAnsi="宋体" w:eastAsia="宋体" w:cs="宋体"/>
        </w:rPr>
      </w:pPr>
      <w:r>
        <w:rPr>
          <w:rFonts w:hint="eastAsia" w:ascii="宋体" w:hAnsi="宋体" w:eastAsia="宋体" w:cs="宋体"/>
          <w:b/>
        </w:rPr>
        <w:t>1.培养理念</w:t>
      </w:r>
    </w:p>
    <w:p w14:paraId="546ADFBA">
      <w:pPr>
        <w:spacing w:after="0" w:line="240" w:lineRule="auto"/>
        <w:ind w:firstLine="440"/>
        <w:rPr>
          <w:rFonts w:hint="eastAsia" w:ascii="宋体" w:hAnsi="宋体" w:eastAsia="宋体" w:cs="宋体"/>
        </w:rPr>
      </w:pPr>
      <w:r>
        <w:rPr>
          <w:rFonts w:hint="eastAsia" w:ascii="宋体" w:hAnsi="宋体" w:eastAsia="宋体" w:cs="宋体"/>
        </w:rPr>
        <w:t>坚持“实践导向、数智融合、理实一体、协同育人”的建设思路，以理论学习与实践训练相结合的方式培养师能；以“高校教师+行业导师”双师协同提升培养质量。</w:t>
      </w:r>
    </w:p>
    <w:p w14:paraId="2315D763">
      <w:pPr>
        <w:spacing w:after="0" w:line="240" w:lineRule="auto"/>
        <w:rPr>
          <w:rFonts w:hint="eastAsia" w:ascii="宋体" w:hAnsi="宋体" w:eastAsia="宋体" w:cs="宋体"/>
        </w:rPr>
      </w:pPr>
      <w:r>
        <w:rPr>
          <w:rFonts w:hint="eastAsia" w:ascii="宋体" w:hAnsi="宋体" w:eastAsia="宋体" w:cs="宋体"/>
          <w:b/>
        </w:rPr>
        <w:t>2.课程设计</w:t>
      </w:r>
    </w:p>
    <w:p w14:paraId="17F4AB43">
      <w:pPr>
        <w:spacing w:after="0" w:line="240" w:lineRule="auto"/>
        <w:ind w:firstLine="440"/>
        <w:rPr>
          <w:rFonts w:hint="eastAsia" w:ascii="宋体" w:hAnsi="宋体" w:eastAsia="宋体" w:cs="宋体"/>
        </w:rPr>
      </w:pPr>
      <w:r>
        <w:rPr>
          <w:rFonts w:hint="eastAsia" w:ascii="宋体" w:hAnsi="宋体" w:eastAsia="宋体" w:cs="宋体"/>
        </w:rPr>
        <w:t>采用“理论基础+专业技能+实战演练”三模块互动式课程架构，共设置4门课程，合计8学分，共128学时，学制1年，理论课32学时（占25%），实践课96学时（占75%）。“理论基础模块”包括“数智时代语文教师素养概论”1门课程；“专业技能模块”包括“数智赋能语文教材名篇解读”“语文学科知识与教学能力研修”2门课程；“实战演练模块”包括“数智赋能语文课堂实战工作坊”1门课程。</w:t>
      </w:r>
    </w:p>
    <w:p w14:paraId="205AE8F5">
      <w:pPr>
        <w:spacing w:after="0" w:line="240" w:lineRule="auto"/>
        <w:ind w:firstLine="440"/>
        <w:rPr>
          <w:rFonts w:hint="eastAsia" w:ascii="宋体" w:hAnsi="宋体" w:eastAsia="宋体" w:cs="宋体"/>
        </w:rPr>
      </w:pPr>
      <w:r>
        <w:rPr>
          <w:rFonts w:hint="eastAsia" w:ascii="宋体" w:hAnsi="宋体" w:eastAsia="宋体" w:cs="宋体"/>
        </w:rPr>
        <w:t>理论课夯基，技能课强能，实践课实战，三模块课程形成互动并循序渐进，提升数智化语文教学能力。课表如下。</w:t>
      </w:r>
    </w:p>
    <w:p w14:paraId="5AA7BAA5">
      <w:pPr>
        <w:spacing w:after="0" w:line="240" w:lineRule="auto"/>
        <w:ind w:firstLine="440"/>
        <w:rPr>
          <w:rFonts w:hint="eastAsia" w:ascii="宋体" w:hAnsi="宋体" w:eastAsia="宋体" w:cs="宋体"/>
          <w:sz w:val="20"/>
          <w:szCs w:val="21"/>
        </w:rPr>
      </w:pPr>
    </w:p>
    <w:tbl>
      <w:tblPr>
        <w:tblStyle w:val="15"/>
        <w:tblW w:w="5000" w:type="pct"/>
        <w:jc w:val="center"/>
        <w:tblLayout w:type="autofit"/>
        <w:tblCellMar>
          <w:top w:w="40" w:type="dxa"/>
          <w:left w:w="60" w:type="dxa"/>
          <w:bottom w:w="40" w:type="dxa"/>
          <w:right w:w="60" w:type="dxa"/>
        </w:tblCellMar>
      </w:tblPr>
      <w:tblGrid>
        <w:gridCol w:w="3319"/>
        <w:gridCol w:w="1386"/>
        <w:gridCol w:w="1529"/>
        <w:gridCol w:w="2078"/>
      </w:tblGrid>
      <w:tr w14:paraId="2C5FD576">
        <w:tblPrEx>
          <w:tblCellMar>
            <w:top w:w="40" w:type="dxa"/>
            <w:left w:w="60" w:type="dxa"/>
            <w:bottom w:w="40" w:type="dxa"/>
            <w:right w:w="60" w:type="dxa"/>
          </w:tblCellMar>
        </w:tblPrEx>
        <w:trPr>
          <w:trHeight w:val="510" w:hRule="atLeast"/>
          <w:jc w:val="center"/>
        </w:trPr>
        <w:tc>
          <w:tcPr>
            <w:tcW w:w="3319" w:type="dxa"/>
            <w:tcBorders>
              <w:top w:val="single" w:color="000000" w:sz="6" w:space="0"/>
              <w:left w:val="single" w:color="000000" w:sz="6" w:space="0"/>
              <w:bottom w:val="single" w:color="000000" w:sz="6" w:space="0"/>
              <w:right w:val="single" w:color="000000" w:sz="6" w:space="0"/>
            </w:tcBorders>
            <w:vAlign w:val="center"/>
          </w:tcPr>
          <w:p w14:paraId="6FB03C42">
            <w:pPr>
              <w:spacing w:after="0" w:line="240" w:lineRule="auto"/>
              <w:jc w:val="center"/>
              <w:rPr>
                <w:rFonts w:hint="eastAsia" w:ascii="宋体" w:hAnsi="宋体" w:eastAsia="宋体" w:cs="宋体"/>
              </w:rPr>
            </w:pPr>
            <w:r>
              <w:rPr>
                <w:rFonts w:hint="eastAsia" w:ascii="宋体" w:hAnsi="宋体" w:eastAsia="宋体" w:cs="宋体"/>
                <w:b/>
              </w:rPr>
              <w:t>课程名称</w:t>
            </w:r>
          </w:p>
        </w:tc>
        <w:tc>
          <w:tcPr>
            <w:tcW w:w="1386" w:type="dxa"/>
            <w:tcBorders>
              <w:top w:val="single" w:color="000000" w:sz="6" w:space="0"/>
              <w:left w:val="single" w:color="000000" w:sz="6" w:space="0"/>
              <w:bottom w:val="single" w:color="000000" w:sz="6" w:space="0"/>
              <w:right w:val="single" w:color="000000" w:sz="6" w:space="0"/>
            </w:tcBorders>
            <w:vAlign w:val="center"/>
          </w:tcPr>
          <w:p w14:paraId="57049487">
            <w:pPr>
              <w:spacing w:after="0" w:line="240" w:lineRule="auto"/>
              <w:jc w:val="center"/>
              <w:rPr>
                <w:rFonts w:hint="eastAsia" w:ascii="宋体" w:hAnsi="宋体" w:eastAsia="宋体" w:cs="宋体"/>
              </w:rPr>
            </w:pPr>
            <w:r>
              <w:rPr>
                <w:rFonts w:hint="eastAsia" w:ascii="宋体" w:hAnsi="宋体" w:eastAsia="宋体" w:cs="宋体"/>
                <w:b/>
              </w:rPr>
              <w:t>学时</w:t>
            </w:r>
          </w:p>
        </w:tc>
        <w:tc>
          <w:tcPr>
            <w:tcW w:w="1529" w:type="dxa"/>
            <w:tcBorders>
              <w:top w:val="single" w:color="000000" w:sz="6" w:space="0"/>
              <w:left w:val="single" w:color="000000" w:sz="6" w:space="0"/>
              <w:bottom w:val="single" w:color="000000" w:sz="6" w:space="0"/>
              <w:right w:val="single" w:color="000000" w:sz="6" w:space="0"/>
            </w:tcBorders>
            <w:vAlign w:val="center"/>
          </w:tcPr>
          <w:p w14:paraId="65C2F640">
            <w:pPr>
              <w:spacing w:after="0" w:line="240" w:lineRule="auto"/>
              <w:jc w:val="center"/>
              <w:rPr>
                <w:rFonts w:hint="eastAsia" w:ascii="宋体" w:hAnsi="宋体" w:eastAsia="宋体" w:cs="宋体"/>
              </w:rPr>
            </w:pPr>
            <w:r>
              <w:rPr>
                <w:rFonts w:hint="eastAsia" w:ascii="宋体" w:hAnsi="宋体" w:eastAsia="宋体" w:cs="宋体"/>
                <w:b/>
              </w:rPr>
              <w:t>学分</w:t>
            </w:r>
          </w:p>
        </w:tc>
        <w:tc>
          <w:tcPr>
            <w:tcW w:w="2078" w:type="dxa"/>
            <w:tcBorders>
              <w:top w:val="single" w:color="000000" w:sz="6" w:space="0"/>
              <w:left w:val="single" w:color="000000" w:sz="6" w:space="0"/>
              <w:bottom w:val="single" w:color="000000" w:sz="6" w:space="0"/>
              <w:right w:val="single" w:color="000000" w:sz="6" w:space="0"/>
            </w:tcBorders>
            <w:vAlign w:val="center"/>
          </w:tcPr>
          <w:p w14:paraId="036DF515">
            <w:pPr>
              <w:spacing w:after="0" w:line="240" w:lineRule="auto"/>
              <w:jc w:val="center"/>
              <w:rPr>
                <w:rFonts w:hint="eastAsia" w:ascii="宋体" w:hAnsi="宋体" w:eastAsia="宋体" w:cs="宋体"/>
              </w:rPr>
            </w:pPr>
            <w:r>
              <w:rPr>
                <w:rFonts w:hint="eastAsia" w:ascii="宋体" w:hAnsi="宋体" w:eastAsia="宋体" w:cs="宋体"/>
                <w:b/>
              </w:rPr>
              <w:t>开课学期</w:t>
            </w:r>
          </w:p>
        </w:tc>
      </w:tr>
      <w:tr w14:paraId="5523C990">
        <w:tblPrEx>
          <w:tblCellMar>
            <w:top w:w="40" w:type="dxa"/>
            <w:left w:w="60" w:type="dxa"/>
            <w:bottom w:w="40" w:type="dxa"/>
            <w:right w:w="60" w:type="dxa"/>
          </w:tblCellMar>
        </w:tblPrEx>
        <w:trPr>
          <w:trHeight w:val="510" w:hRule="atLeast"/>
          <w:jc w:val="center"/>
        </w:trPr>
        <w:tc>
          <w:tcPr>
            <w:tcW w:w="3319" w:type="dxa"/>
            <w:tcBorders>
              <w:top w:val="single" w:color="000000" w:sz="6" w:space="0"/>
              <w:left w:val="single" w:color="000000" w:sz="6" w:space="0"/>
              <w:bottom w:val="single" w:color="000000" w:sz="6" w:space="0"/>
              <w:right w:val="single" w:color="000000" w:sz="6" w:space="0"/>
            </w:tcBorders>
            <w:vAlign w:val="center"/>
          </w:tcPr>
          <w:p w14:paraId="738CD77F">
            <w:pPr>
              <w:spacing w:after="0" w:line="240" w:lineRule="auto"/>
              <w:jc w:val="center"/>
              <w:rPr>
                <w:rFonts w:hint="eastAsia" w:ascii="宋体" w:hAnsi="宋体" w:eastAsia="宋体" w:cs="宋体"/>
              </w:rPr>
            </w:pPr>
            <w:r>
              <w:rPr>
                <w:rFonts w:hint="eastAsia" w:ascii="宋体" w:hAnsi="宋体" w:eastAsia="宋体" w:cs="宋体"/>
              </w:rPr>
              <w:t>数智时代语文教师素养概论</w:t>
            </w:r>
          </w:p>
        </w:tc>
        <w:tc>
          <w:tcPr>
            <w:tcW w:w="1386" w:type="dxa"/>
            <w:tcBorders>
              <w:top w:val="single" w:color="000000" w:sz="6" w:space="0"/>
              <w:left w:val="single" w:color="000000" w:sz="6" w:space="0"/>
              <w:bottom w:val="single" w:color="000000" w:sz="6" w:space="0"/>
              <w:right w:val="single" w:color="000000" w:sz="6" w:space="0"/>
            </w:tcBorders>
            <w:vAlign w:val="center"/>
          </w:tcPr>
          <w:p w14:paraId="7D3415D9">
            <w:pPr>
              <w:spacing w:after="0" w:line="240" w:lineRule="auto"/>
              <w:jc w:val="center"/>
              <w:rPr>
                <w:rFonts w:hint="eastAsia" w:ascii="宋体" w:hAnsi="宋体" w:eastAsia="宋体" w:cs="宋体"/>
              </w:rPr>
            </w:pPr>
            <w:r>
              <w:rPr>
                <w:rFonts w:hint="eastAsia" w:ascii="宋体" w:hAnsi="宋体" w:eastAsia="宋体" w:cs="宋体"/>
              </w:rPr>
              <w:t>16</w:t>
            </w:r>
          </w:p>
        </w:tc>
        <w:tc>
          <w:tcPr>
            <w:tcW w:w="1529" w:type="dxa"/>
            <w:tcBorders>
              <w:top w:val="single" w:color="000000" w:sz="6" w:space="0"/>
              <w:left w:val="single" w:color="000000" w:sz="6" w:space="0"/>
              <w:bottom w:val="single" w:color="000000" w:sz="6" w:space="0"/>
              <w:right w:val="single" w:color="000000" w:sz="6" w:space="0"/>
            </w:tcBorders>
            <w:vAlign w:val="center"/>
          </w:tcPr>
          <w:p w14:paraId="523729A1">
            <w:pPr>
              <w:spacing w:after="0" w:line="240" w:lineRule="auto"/>
              <w:jc w:val="center"/>
              <w:rPr>
                <w:rFonts w:hint="eastAsia" w:ascii="宋体" w:hAnsi="宋体" w:eastAsia="宋体" w:cs="宋体"/>
              </w:rPr>
            </w:pPr>
            <w:r>
              <w:rPr>
                <w:rFonts w:hint="eastAsia" w:ascii="宋体" w:hAnsi="宋体" w:eastAsia="宋体" w:cs="宋体"/>
              </w:rPr>
              <w:t>1</w:t>
            </w:r>
          </w:p>
        </w:tc>
        <w:tc>
          <w:tcPr>
            <w:tcW w:w="2078" w:type="dxa"/>
            <w:tcBorders>
              <w:top w:val="single" w:color="000000" w:sz="6" w:space="0"/>
              <w:left w:val="single" w:color="000000" w:sz="6" w:space="0"/>
              <w:bottom w:val="single" w:color="000000" w:sz="6" w:space="0"/>
              <w:right w:val="single" w:color="000000" w:sz="6" w:space="0"/>
            </w:tcBorders>
            <w:vAlign w:val="center"/>
          </w:tcPr>
          <w:p w14:paraId="2944F2CF">
            <w:pPr>
              <w:spacing w:after="0" w:line="240" w:lineRule="auto"/>
              <w:jc w:val="center"/>
              <w:rPr>
                <w:rFonts w:hint="eastAsia" w:ascii="宋体" w:hAnsi="宋体" w:eastAsia="宋体" w:cs="宋体"/>
              </w:rPr>
            </w:pPr>
            <w:r>
              <w:rPr>
                <w:rFonts w:hint="eastAsia" w:ascii="宋体" w:hAnsi="宋体" w:eastAsia="宋体" w:cs="宋体"/>
              </w:rPr>
              <w:t>秋季</w:t>
            </w:r>
          </w:p>
        </w:tc>
      </w:tr>
      <w:tr w14:paraId="20B83F9C">
        <w:tblPrEx>
          <w:tblCellMar>
            <w:top w:w="40" w:type="dxa"/>
            <w:left w:w="60" w:type="dxa"/>
            <w:bottom w:w="40" w:type="dxa"/>
            <w:right w:w="60" w:type="dxa"/>
          </w:tblCellMar>
        </w:tblPrEx>
        <w:trPr>
          <w:trHeight w:val="510" w:hRule="atLeast"/>
          <w:jc w:val="center"/>
        </w:trPr>
        <w:tc>
          <w:tcPr>
            <w:tcW w:w="3319" w:type="dxa"/>
            <w:tcBorders>
              <w:top w:val="single" w:color="000000" w:sz="6" w:space="0"/>
              <w:left w:val="single" w:color="000000" w:sz="6" w:space="0"/>
              <w:bottom w:val="single" w:color="000000" w:sz="6" w:space="0"/>
              <w:right w:val="single" w:color="000000" w:sz="6" w:space="0"/>
            </w:tcBorders>
            <w:vAlign w:val="center"/>
          </w:tcPr>
          <w:p w14:paraId="58F87566">
            <w:pPr>
              <w:spacing w:after="0" w:line="240" w:lineRule="auto"/>
              <w:jc w:val="center"/>
              <w:rPr>
                <w:rFonts w:hint="eastAsia" w:ascii="宋体" w:hAnsi="宋体" w:eastAsia="宋体" w:cs="宋体"/>
              </w:rPr>
            </w:pPr>
            <w:r>
              <w:rPr>
                <w:rFonts w:hint="eastAsia" w:ascii="宋体" w:hAnsi="宋体" w:eastAsia="宋体" w:cs="宋体"/>
              </w:rPr>
              <w:t>数智赋能语文教材名篇解读</w:t>
            </w:r>
          </w:p>
        </w:tc>
        <w:tc>
          <w:tcPr>
            <w:tcW w:w="1386" w:type="dxa"/>
            <w:tcBorders>
              <w:top w:val="single" w:color="000000" w:sz="6" w:space="0"/>
              <w:left w:val="single" w:color="000000" w:sz="6" w:space="0"/>
              <w:bottom w:val="single" w:color="000000" w:sz="6" w:space="0"/>
              <w:right w:val="single" w:color="000000" w:sz="6" w:space="0"/>
            </w:tcBorders>
            <w:vAlign w:val="center"/>
          </w:tcPr>
          <w:p w14:paraId="4EBCACF6">
            <w:pPr>
              <w:spacing w:after="0" w:line="240" w:lineRule="auto"/>
              <w:jc w:val="center"/>
              <w:rPr>
                <w:rFonts w:hint="eastAsia" w:ascii="宋体" w:hAnsi="宋体" w:eastAsia="宋体" w:cs="宋体"/>
              </w:rPr>
            </w:pPr>
            <w:r>
              <w:rPr>
                <w:rFonts w:hint="eastAsia" w:ascii="宋体" w:hAnsi="宋体" w:eastAsia="宋体" w:cs="宋体"/>
              </w:rPr>
              <w:t>32</w:t>
            </w:r>
          </w:p>
        </w:tc>
        <w:tc>
          <w:tcPr>
            <w:tcW w:w="1529" w:type="dxa"/>
            <w:tcBorders>
              <w:top w:val="single" w:color="000000" w:sz="6" w:space="0"/>
              <w:left w:val="single" w:color="000000" w:sz="6" w:space="0"/>
              <w:bottom w:val="single" w:color="000000" w:sz="6" w:space="0"/>
              <w:right w:val="single" w:color="000000" w:sz="6" w:space="0"/>
            </w:tcBorders>
            <w:vAlign w:val="center"/>
          </w:tcPr>
          <w:p w14:paraId="37442A37">
            <w:pPr>
              <w:spacing w:after="0" w:line="240" w:lineRule="auto"/>
              <w:jc w:val="center"/>
              <w:rPr>
                <w:rFonts w:hint="eastAsia" w:ascii="宋体" w:hAnsi="宋体" w:eastAsia="宋体" w:cs="宋体"/>
              </w:rPr>
            </w:pPr>
            <w:r>
              <w:rPr>
                <w:rFonts w:hint="eastAsia" w:ascii="宋体" w:hAnsi="宋体" w:eastAsia="宋体" w:cs="宋体"/>
              </w:rPr>
              <w:t>2</w:t>
            </w:r>
          </w:p>
        </w:tc>
        <w:tc>
          <w:tcPr>
            <w:tcW w:w="2078" w:type="dxa"/>
            <w:tcBorders>
              <w:top w:val="single" w:color="000000" w:sz="6" w:space="0"/>
              <w:left w:val="single" w:color="000000" w:sz="6" w:space="0"/>
              <w:bottom w:val="single" w:color="000000" w:sz="6" w:space="0"/>
              <w:right w:val="single" w:color="000000" w:sz="6" w:space="0"/>
            </w:tcBorders>
            <w:vAlign w:val="center"/>
          </w:tcPr>
          <w:p w14:paraId="4D145972">
            <w:pPr>
              <w:spacing w:after="0" w:line="240" w:lineRule="auto"/>
              <w:jc w:val="center"/>
              <w:rPr>
                <w:rFonts w:hint="eastAsia" w:ascii="宋体" w:hAnsi="宋体" w:eastAsia="宋体" w:cs="宋体"/>
              </w:rPr>
            </w:pPr>
            <w:r>
              <w:rPr>
                <w:rFonts w:hint="eastAsia" w:ascii="宋体" w:hAnsi="宋体" w:eastAsia="宋体" w:cs="宋体"/>
              </w:rPr>
              <w:t>秋季</w:t>
            </w:r>
          </w:p>
        </w:tc>
      </w:tr>
      <w:tr w14:paraId="567CAD0E">
        <w:tblPrEx>
          <w:tblCellMar>
            <w:top w:w="40" w:type="dxa"/>
            <w:left w:w="60" w:type="dxa"/>
            <w:bottom w:w="40" w:type="dxa"/>
            <w:right w:w="60" w:type="dxa"/>
          </w:tblCellMar>
        </w:tblPrEx>
        <w:trPr>
          <w:trHeight w:val="510" w:hRule="atLeast"/>
          <w:jc w:val="center"/>
        </w:trPr>
        <w:tc>
          <w:tcPr>
            <w:tcW w:w="3319" w:type="dxa"/>
            <w:tcBorders>
              <w:top w:val="single" w:color="000000" w:sz="6" w:space="0"/>
              <w:left w:val="single" w:color="000000" w:sz="6" w:space="0"/>
              <w:bottom w:val="single" w:color="000000" w:sz="6" w:space="0"/>
              <w:right w:val="single" w:color="000000" w:sz="6" w:space="0"/>
            </w:tcBorders>
            <w:vAlign w:val="center"/>
          </w:tcPr>
          <w:p w14:paraId="576D0B4D">
            <w:pPr>
              <w:spacing w:after="0" w:line="240" w:lineRule="auto"/>
              <w:jc w:val="center"/>
              <w:rPr>
                <w:rFonts w:hint="eastAsia" w:ascii="宋体" w:hAnsi="宋体" w:eastAsia="宋体" w:cs="宋体"/>
              </w:rPr>
            </w:pPr>
            <w:r>
              <w:rPr>
                <w:rFonts w:hint="eastAsia" w:ascii="宋体" w:hAnsi="宋体" w:eastAsia="宋体" w:cs="宋体"/>
              </w:rPr>
              <w:t>语文学科知识与教学能力研修</w:t>
            </w:r>
          </w:p>
        </w:tc>
        <w:tc>
          <w:tcPr>
            <w:tcW w:w="1386" w:type="dxa"/>
            <w:tcBorders>
              <w:top w:val="single" w:color="000000" w:sz="6" w:space="0"/>
              <w:left w:val="single" w:color="000000" w:sz="6" w:space="0"/>
              <w:bottom w:val="single" w:color="000000" w:sz="6" w:space="0"/>
              <w:right w:val="single" w:color="000000" w:sz="6" w:space="0"/>
            </w:tcBorders>
            <w:vAlign w:val="center"/>
          </w:tcPr>
          <w:p w14:paraId="0D577BB1">
            <w:pPr>
              <w:spacing w:after="0" w:line="240" w:lineRule="auto"/>
              <w:jc w:val="center"/>
              <w:rPr>
                <w:rFonts w:hint="eastAsia" w:ascii="宋体" w:hAnsi="宋体" w:eastAsia="宋体" w:cs="宋体"/>
              </w:rPr>
            </w:pPr>
            <w:r>
              <w:rPr>
                <w:rFonts w:hint="eastAsia" w:ascii="宋体" w:hAnsi="宋体" w:eastAsia="宋体" w:cs="宋体"/>
              </w:rPr>
              <w:t>32</w:t>
            </w:r>
          </w:p>
        </w:tc>
        <w:tc>
          <w:tcPr>
            <w:tcW w:w="1529" w:type="dxa"/>
            <w:tcBorders>
              <w:top w:val="single" w:color="000000" w:sz="6" w:space="0"/>
              <w:left w:val="single" w:color="000000" w:sz="6" w:space="0"/>
              <w:bottom w:val="single" w:color="000000" w:sz="6" w:space="0"/>
              <w:right w:val="single" w:color="000000" w:sz="6" w:space="0"/>
            </w:tcBorders>
            <w:vAlign w:val="center"/>
          </w:tcPr>
          <w:p w14:paraId="7030EC4C">
            <w:pPr>
              <w:spacing w:after="0" w:line="240" w:lineRule="auto"/>
              <w:jc w:val="center"/>
              <w:rPr>
                <w:rFonts w:hint="eastAsia" w:ascii="宋体" w:hAnsi="宋体" w:eastAsia="宋体" w:cs="宋体"/>
              </w:rPr>
            </w:pPr>
            <w:r>
              <w:rPr>
                <w:rFonts w:hint="eastAsia" w:ascii="宋体" w:hAnsi="宋体" w:eastAsia="宋体" w:cs="宋体"/>
              </w:rPr>
              <w:t>2</w:t>
            </w:r>
          </w:p>
        </w:tc>
        <w:tc>
          <w:tcPr>
            <w:tcW w:w="2078" w:type="dxa"/>
            <w:tcBorders>
              <w:top w:val="single" w:color="000000" w:sz="6" w:space="0"/>
              <w:left w:val="single" w:color="000000" w:sz="6" w:space="0"/>
              <w:bottom w:val="single" w:color="000000" w:sz="6" w:space="0"/>
              <w:right w:val="single" w:color="000000" w:sz="6" w:space="0"/>
            </w:tcBorders>
            <w:vAlign w:val="center"/>
          </w:tcPr>
          <w:p w14:paraId="1FE605E4">
            <w:pPr>
              <w:spacing w:after="0" w:line="240" w:lineRule="auto"/>
              <w:jc w:val="center"/>
              <w:rPr>
                <w:rFonts w:hint="eastAsia" w:ascii="宋体" w:hAnsi="宋体" w:eastAsia="宋体" w:cs="宋体"/>
              </w:rPr>
            </w:pPr>
            <w:r>
              <w:rPr>
                <w:rFonts w:hint="eastAsia" w:ascii="宋体" w:hAnsi="宋体" w:eastAsia="宋体" w:cs="宋体"/>
              </w:rPr>
              <w:t>秋季</w:t>
            </w:r>
          </w:p>
        </w:tc>
      </w:tr>
      <w:tr w14:paraId="788FB105">
        <w:tblPrEx>
          <w:tblCellMar>
            <w:top w:w="40" w:type="dxa"/>
            <w:left w:w="60" w:type="dxa"/>
            <w:bottom w:w="40" w:type="dxa"/>
            <w:right w:w="60" w:type="dxa"/>
          </w:tblCellMar>
        </w:tblPrEx>
        <w:trPr>
          <w:trHeight w:val="510" w:hRule="atLeast"/>
          <w:jc w:val="center"/>
        </w:trPr>
        <w:tc>
          <w:tcPr>
            <w:tcW w:w="3319" w:type="dxa"/>
            <w:tcBorders>
              <w:top w:val="single" w:color="000000" w:sz="6" w:space="0"/>
              <w:left w:val="single" w:color="000000" w:sz="6" w:space="0"/>
              <w:bottom w:val="single" w:color="000000" w:sz="6" w:space="0"/>
              <w:right w:val="single" w:color="000000" w:sz="6" w:space="0"/>
            </w:tcBorders>
            <w:vAlign w:val="center"/>
          </w:tcPr>
          <w:p w14:paraId="0807D8E4">
            <w:pPr>
              <w:spacing w:after="0" w:line="240" w:lineRule="auto"/>
              <w:jc w:val="center"/>
              <w:rPr>
                <w:rFonts w:hint="eastAsia" w:ascii="宋体" w:hAnsi="宋体" w:eastAsia="宋体" w:cs="宋体"/>
              </w:rPr>
            </w:pPr>
            <w:r>
              <w:rPr>
                <w:rFonts w:hint="eastAsia" w:ascii="宋体" w:hAnsi="宋体" w:eastAsia="宋体" w:cs="宋体"/>
              </w:rPr>
              <w:t>数智赋能语文课堂实战工作坊</w:t>
            </w:r>
          </w:p>
        </w:tc>
        <w:tc>
          <w:tcPr>
            <w:tcW w:w="1386" w:type="dxa"/>
            <w:tcBorders>
              <w:top w:val="single" w:color="000000" w:sz="6" w:space="0"/>
              <w:left w:val="single" w:color="000000" w:sz="6" w:space="0"/>
              <w:bottom w:val="single" w:color="000000" w:sz="6" w:space="0"/>
              <w:right w:val="single" w:color="000000" w:sz="6" w:space="0"/>
            </w:tcBorders>
            <w:vAlign w:val="center"/>
          </w:tcPr>
          <w:p w14:paraId="30185E66">
            <w:pPr>
              <w:spacing w:after="0" w:line="240" w:lineRule="auto"/>
              <w:jc w:val="center"/>
              <w:rPr>
                <w:rFonts w:hint="eastAsia" w:ascii="宋体" w:hAnsi="宋体" w:eastAsia="宋体" w:cs="宋体"/>
              </w:rPr>
            </w:pPr>
            <w:r>
              <w:rPr>
                <w:rFonts w:hint="eastAsia" w:ascii="宋体" w:hAnsi="宋体" w:eastAsia="宋体" w:cs="宋体"/>
              </w:rPr>
              <w:t>48</w:t>
            </w:r>
          </w:p>
        </w:tc>
        <w:tc>
          <w:tcPr>
            <w:tcW w:w="1529" w:type="dxa"/>
            <w:tcBorders>
              <w:top w:val="single" w:color="000000" w:sz="6" w:space="0"/>
              <w:left w:val="single" w:color="000000" w:sz="6" w:space="0"/>
              <w:bottom w:val="single" w:color="000000" w:sz="6" w:space="0"/>
              <w:right w:val="single" w:color="000000" w:sz="6" w:space="0"/>
            </w:tcBorders>
            <w:vAlign w:val="center"/>
          </w:tcPr>
          <w:p w14:paraId="31EA320B">
            <w:pPr>
              <w:spacing w:after="0" w:line="240" w:lineRule="auto"/>
              <w:jc w:val="center"/>
              <w:rPr>
                <w:rFonts w:hint="eastAsia" w:ascii="宋体" w:hAnsi="宋体" w:eastAsia="宋体" w:cs="宋体"/>
              </w:rPr>
            </w:pPr>
            <w:r>
              <w:rPr>
                <w:rFonts w:hint="eastAsia" w:ascii="宋体" w:hAnsi="宋体" w:eastAsia="宋体" w:cs="宋体"/>
              </w:rPr>
              <w:t>3</w:t>
            </w:r>
          </w:p>
        </w:tc>
        <w:tc>
          <w:tcPr>
            <w:tcW w:w="2078" w:type="dxa"/>
            <w:tcBorders>
              <w:top w:val="single" w:color="000000" w:sz="6" w:space="0"/>
              <w:left w:val="single" w:color="000000" w:sz="6" w:space="0"/>
              <w:bottom w:val="single" w:color="000000" w:sz="6" w:space="0"/>
              <w:right w:val="single" w:color="000000" w:sz="6" w:space="0"/>
            </w:tcBorders>
            <w:vAlign w:val="center"/>
          </w:tcPr>
          <w:p w14:paraId="008E9250">
            <w:pPr>
              <w:spacing w:after="0" w:line="240" w:lineRule="auto"/>
              <w:jc w:val="center"/>
              <w:rPr>
                <w:rFonts w:hint="eastAsia" w:ascii="宋体" w:hAnsi="宋体" w:eastAsia="宋体" w:cs="宋体"/>
              </w:rPr>
            </w:pPr>
            <w:r>
              <w:rPr>
                <w:rFonts w:hint="eastAsia" w:ascii="宋体" w:hAnsi="宋体" w:eastAsia="宋体" w:cs="宋体"/>
              </w:rPr>
              <w:t>秋季</w:t>
            </w:r>
          </w:p>
        </w:tc>
      </w:tr>
    </w:tbl>
    <w:p w14:paraId="3B87023B">
      <w:pPr>
        <w:spacing w:after="0" w:line="240" w:lineRule="auto"/>
        <w:rPr>
          <w:rFonts w:hint="eastAsia" w:ascii="宋体" w:hAnsi="宋体" w:eastAsia="宋体" w:cs="宋体"/>
          <w:sz w:val="20"/>
          <w:szCs w:val="21"/>
        </w:rPr>
      </w:pPr>
    </w:p>
    <w:p w14:paraId="456D68BA">
      <w:pPr>
        <w:spacing w:after="0" w:line="240" w:lineRule="auto"/>
        <w:rPr>
          <w:rFonts w:hint="eastAsia" w:ascii="宋体" w:hAnsi="宋体" w:eastAsia="宋体" w:cs="宋体"/>
        </w:rPr>
      </w:pPr>
      <w:r>
        <w:rPr>
          <w:rFonts w:hint="eastAsia" w:ascii="宋体" w:hAnsi="宋体" w:eastAsia="宋体" w:cs="宋体"/>
          <w:b/>
        </w:rPr>
        <w:t>3.教学模式</w:t>
      </w:r>
    </w:p>
    <w:p w14:paraId="11577280">
      <w:pPr>
        <w:spacing w:after="0" w:line="240" w:lineRule="auto"/>
        <w:ind w:firstLine="440"/>
        <w:rPr>
          <w:rFonts w:hint="eastAsia" w:ascii="宋体" w:hAnsi="宋体" w:eastAsia="宋体" w:cs="宋体"/>
        </w:rPr>
      </w:pPr>
      <w:r>
        <w:rPr>
          <w:rFonts w:hint="eastAsia" w:ascii="宋体" w:hAnsi="宋体" w:eastAsia="宋体" w:cs="宋体"/>
        </w:rPr>
        <w:t>课程实施采用线上线下相结合的混合式教学方式。</w:t>
      </w:r>
    </w:p>
    <w:p w14:paraId="62D0648D">
      <w:pPr>
        <w:spacing w:after="0" w:line="240" w:lineRule="auto"/>
        <w:rPr>
          <w:rFonts w:hint="eastAsia" w:ascii="宋体" w:hAnsi="宋体" w:eastAsia="宋体" w:cs="宋体"/>
        </w:rPr>
      </w:pPr>
      <w:r>
        <w:rPr>
          <w:rFonts w:hint="eastAsia" w:ascii="宋体" w:hAnsi="宋体" w:eastAsia="宋体" w:cs="宋体"/>
          <w:b/>
        </w:rPr>
        <w:t>4.评价与考核</w:t>
      </w:r>
    </w:p>
    <w:p w14:paraId="6FAE5D12">
      <w:pPr>
        <w:spacing w:after="0" w:line="240" w:lineRule="auto"/>
        <w:ind w:firstLine="440"/>
        <w:rPr>
          <w:rFonts w:hint="eastAsia" w:ascii="宋体" w:hAnsi="宋体" w:eastAsia="宋体" w:cs="宋体"/>
        </w:rPr>
      </w:pPr>
      <w:r>
        <w:rPr>
          <w:rFonts w:hint="eastAsia" w:ascii="宋体" w:hAnsi="宋体" w:eastAsia="宋体" w:cs="宋体"/>
        </w:rPr>
        <w:t>采取过程性评价与总结性评价相结合的方式，借助数字化教学平台实现学习过程的可视化记录与过程性数据采集，以AI协同备课报告、数字化教案、课堂教学实录与智能化教学反思等作业为主要评价依据，</w:t>
      </w:r>
      <w:r>
        <w:rPr>
          <w:rFonts w:hint="eastAsia" w:ascii="宋体" w:hAnsi="宋体" w:eastAsia="宋体" w:cs="宋体"/>
          <w:color w:val="auto"/>
        </w:rPr>
        <w:t>总评成绩由平时成绩和期末成绩构成，平时成绩在总评成绩中的占比一般持平或高于期末成绩。</w:t>
      </w:r>
    </w:p>
    <w:p w14:paraId="0F35724E">
      <w:pPr>
        <w:spacing w:after="0" w:line="240" w:lineRule="auto"/>
        <w:ind w:firstLine="440"/>
        <w:rPr>
          <w:rFonts w:hint="eastAsia" w:ascii="宋体" w:hAnsi="宋体" w:eastAsia="宋体" w:cs="宋体"/>
        </w:rPr>
      </w:pPr>
    </w:p>
    <w:p w14:paraId="106ECA12">
      <w:pPr>
        <w:spacing w:after="0" w:line="240" w:lineRule="auto"/>
        <w:rPr>
          <w:rFonts w:hint="eastAsia" w:ascii="宋体" w:hAnsi="宋体" w:eastAsia="宋体" w:cs="宋体"/>
        </w:rPr>
      </w:pPr>
      <w:r>
        <w:rPr>
          <w:rFonts w:hint="eastAsia" w:ascii="宋体" w:hAnsi="宋体" w:eastAsia="宋体" w:cs="宋体"/>
          <w:b/>
        </w:rPr>
        <w:t>三、专业特色</w:t>
      </w:r>
    </w:p>
    <w:p w14:paraId="054ABCB4">
      <w:pPr>
        <w:spacing w:after="0" w:line="240" w:lineRule="auto"/>
        <w:rPr>
          <w:rFonts w:hint="eastAsia" w:ascii="宋体" w:hAnsi="宋体" w:eastAsia="宋体" w:cs="宋体"/>
        </w:rPr>
      </w:pPr>
      <w:r>
        <w:rPr>
          <w:rFonts w:hint="eastAsia" w:ascii="宋体" w:hAnsi="宋体" w:eastAsia="宋体" w:cs="宋体"/>
          <w:b/>
        </w:rPr>
        <w:t>1.实践导向</w:t>
      </w:r>
    </w:p>
    <w:p w14:paraId="1F3606A8">
      <w:pPr>
        <w:spacing w:after="0" w:line="240" w:lineRule="auto"/>
        <w:ind w:firstLine="440"/>
        <w:rPr>
          <w:rFonts w:hint="eastAsia" w:ascii="宋体" w:hAnsi="宋体" w:eastAsia="宋体" w:cs="宋体"/>
        </w:rPr>
      </w:pPr>
      <w:r>
        <w:rPr>
          <w:rFonts w:hint="eastAsia" w:ascii="宋体" w:hAnsi="宋体" w:eastAsia="宋体" w:cs="宋体"/>
        </w:rPr>
        <w:t>培养目标落到“上好课”，即学生能够有效完成备课、上课、评课的全流程实操。</w:t>
      </w:r>
    </w:p>
    <w:p w14:paraId="76AA1685">
      <w:pPr>
        <w:spacing w:after="0" w:line="240" w:lineRule="auto"/>
        <w:rPr>
          <w:rFonts w:hint="eastAsia" w:ascii="宋体" w:hAnsi="宋体" w:eastAsia="宋体" w:cs="宋体"/>
        </w:rPr>
      </w:pPr>
      <w:r>
        <w:rPr>
          <w:rFonts w:hint="eastAsia" w:ascii="宋体" w:hAnsi="宋体" w:eastAsia="宋体" w:cs="宋体"/>
          <w:b/>
        </w:rPr>
        <w:t>2.数智融合</w:t>
      </w:r>
    </w:p>
    <w:p w14:paraId="762EF50F">
      <w:pPr>
        <w:spacing w:after="0" w:line="240" w:lineRule="auto"/>
        <w:ind w:firstLine="440"/>
        <w:rPr>
          <w:rFonts w:hint="eastAsia" w:ascii="宋体" w:hAnsi="宋体" w:eastAsia="宋体" w:cs="宋体"/>
        </w:rPr>
      </w:pPr>
      <w:r>
        <w:rPr>
          <w:rFonts w:hint="eastAsia" w:ascii="宋体" w:hAnsi="宋体" w:eastAsia="宋体" w:cs="宋体"/>
        </w:rPr>
        <w:t>以“数字化+智能化”重构语文教师培养体系，将AI技术、数字资源、智能工具系统融入语文教学理论与实践，填补传统师范专业在数智教学能力培养上的空白。</w:t>
      </w:r>
    </w:p>
    <w:p w14:paraId="027C2D53">
      <w:pPr>
        <w:spacing w:after="0" w:line="240" w:lineRule="auto"/>
        <w:rPr>
          <w:rFonts w:hint="eastAsia" w:ascii="宋体" w:hAnsi="宋体" w:eastAsia="宋体" w:cs="宋体"/>
        </w:rPr>
      </w:pPr>
      <w:r>
        <w:rPr>
          <w:rFonts w:hint="eastAsia" w:ascii="宋体" w:hAnsi="宋体" w:eastAsia="宋体" w:cs="宋体"/>
          <w:b/>
        </w:rPr>
        <w:t>3.理实一体</w:t>
      </w:r>
    </w:p>
    <w:p w14:paraId="70E379C7">
      <w:pPr>
        <w:spacing w:after="0" w:line="240" w:lineRule="auto"/>
        <w:ind w:firstLine="440"/>
        <w:rPr>
          <w:rFonts w:hint="eastAsia" w:ascii="宋体" w:hAnsi="宋体" w:eastAsia="宋体" w:cs="宋体"/>
        </w:rPr>
      </w:pPr>
      <w:r>
        <w:rPr>
          <w:rFonts w:hint="eastAsia" w:ascii="宋体" w:hAnsi="宋体" w:eastAsia="宋体" w:cs="宋体"/>
        </w:rPr>
        <w:t>按照“理论认知-案例分析-工具实操-教学应用”的理念进行课程设计、建构教学模式，开展学习评价，即以真实语文课堂为情境，以教学任务为驱动，以数智工具为手段，通过“学中做、做中教、教中评、评中改”实现数智化语文教学能力的提升。</w:t>
      </w:r>
    </w:p>
    <w:p w14:paraId="61C3C313">
      <w:pPr>
        <w:spacing w:after="0" w:line="240" w:lineRule="auto"/>
        <w:rPr>
          <w:rFonts w:hint="eastAsia" w:ascii="宋体" w:hAnsi="宋体" w:eastAsia="宋体" w:cs="宋体"/>
        </w:rPr>
      </w:pPr>
      <w:r>
        <w:rPr>
          <w:rFonts w:hint="eastAsia" w:ascii="宋体" w:hAnsi="宋体" w:eastAsia="宋体" w:cs="宋体"/>
          <w:b/>
        </w:rPr>
        <w:t>4.双师协同</w:t>
      </w:r>
    </w:p>
    <w:p w14:paraId="2E1FA385">
      <w:pPr>
        <w:spacing w:after="0" w:line="240" w:lineRule="auto"/>
        <w:ind w:firstLine="440"/>
        <w:rPr>
          <w:rFonts w:hint="eastAsia" w:ascii="宋体" w:hAnsi="宋体" w:eastAsia="宋体" w:cs="宋体"/>
        </w:rPr>
      </w:pPr>
      <w:r>
        <w:rPr>
          <w:rFonts w:hint="eastAsia" w:ascii="宋体" w:hAnsi="宋体" w:eastAsia="宋体" w:cs="宋体"/>
        </w:rPr>
        <w:t>与徐州市铜山区教育局教研室合作，聘请熟练掌握数智技术应用的优秀中小学一线教师担任行业导师，以工作坊形式开展实战演练，实现高校教学与一线课堂的深度对接。</w:t>
      </w:r>
    </w:p>
    <w:p w14:paraId="0ED0E336">
      <w:pPr>
        <w:spacing w:after="0" w:line="360" w:lineRule="auto"/>
        <w:rPr>
          <w:rFonts w:hint="eastAsia" w:ascii="宋体" w:hAnsi="宋体" w:eastAsia="宋体" w:cs="宋体"/>
        </w:rPr>
      </w:pPr>
      <w:r>
        <w:rPr>
          <w:rFonts w:hint="eastAsia" w:ascii="宋体" w:hAnsi="宋体" w:eastAsia="宋体" w:cs="宋体"/>
          <w:b/>
        </w:rPr>
        <w:t>四、资源保障</w:t>
      </w:r>
    </w:p>
    <w:p w14:paraId="7EA94370">
      <w:pPr>
        <w:spacing w:after="0" w:line="240" w:lineRule="auto"/>
        <w:rPr>
          <w:rFonts w:hint="eastAsia" w:ascii="宋体" w:hAnsi="宋体" w:eastAsia="宋体" w:cs="宋体"/>
        </w:rPr>
      </w:pPr>
      <w:r>
        <w:rPr>
          <w:rFonts w:hint="eastAsia" w:ascii="宋体" w:hAnsi="宋体" w:eastAsia="宋体" w:cs="宋体"/>
          <w:b/>
        </w:rPr>
        <w:t>1.教学团队</w:t>
      </w:r>
    </w:p>
    <w:tbl>
      <w:tblPr>
        <w:tblStyle w:val="15"/>
        <w:tblW w:w="4948" w:type="pct"/>
        <w:tblInd w:w="0" w:type="dxa"/>
        <w:tblLayout w:type="fixed"/>
        <w:tblCellMar>
          <w:top w:w="30" w:type="dxa"/>
          <w:left w:w="0" w:type="dxa"/>
          <w:bottom w:w="30" w:type="dxa"/>
          <w:right w:w="85" w:type="dxa"/>
        </w:tblCellMar>
      </w:tblPr>
      <w:tblGrid>
        <w:gridCol w:w="3518"/>
        <w:gridCol w:w="4708"/>
      </w:tblGrid>
      <w:tr w14:paraId="6043E9B8">
        <w:tblPrEx>
          <w:tblCellMar>
            <w:top w:w="30" w:type="dxa"/>
            <w:left w:w="0" w:type="dxa"/>
            <w:bottom w:w="30" w:type="dxa"/>
            <w:right w:w="85" w:type="dxa"/>
          </w:tblCellMar>
        </w:tblPrEx>
        <w:trPr>
          <w:cantSplit/>
        </w:trPr>
        <w:tc>
          <w:tcPr>
            <w:tcW w:w="3518" w:type="dxa"/>
          </w:tcPr>
          <w:p w14:paraId="3E8D2210">
            <w:pPr>
              <w:spacing w:after="0" w:line="240" w:lineRule="auto"/>
              <w:jc w:val="center"/>
              <w:rPr>
                <w:rFonts w:hint="eastAsia" w:ascii="宋体" w:hAnsi="宋体" w:eastAsia="宋体" w:cs="宋体"/>
              </w:rPr>
            </w:pPr>
            <w:r>
              <w:rPr>
                <w:rFonts w:hint="eastAsia" w:ascii="宋体" w:hAnsi="宋体" w:eastAsia="宋体" w:cs="宋体"/>
              </w:rPr>
              <w:drawing>
                <wp:anchor distT="0" distB="0" distL="114300" distR="114300" simplePos="0" relativeHeight="251659264" behindDoc="1" locked="0" layoutInCell="1" allowOverlap="1">
                  <wp:simplePos x="0" y="0"/>
                  <wp:positionH relativeFrom="column">
                    <wp:posOffset>57150</wp:posOffset>
                  </wp:positionH>
                  <wp:positionV relativeFrom="page">
                    <wp:posOffset>97790</wp:posOffset>
                  </wp:positionV>
                  <wp:extent cx="2120265" cy="1412875"/>
                  <wp:effectExtent l="0" t="0" r="13335" b="158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2120265" cy="1412875"/>
                          </a:xfrm>
                          <a:prstGeom prst="rect">
                            <a:avLst/>
                          </a:prstGeom>
                        </pic:spPr>
                      </pic:pic>
                    </a:graphicData>
                  </a:graphic>
                </wp:anchor>
              </w:drawing>
            </w:r>
          </w:p>
        </w:tc>
        <w:tc>
          <w:tcPr>
            <w:tcW w:w="4708" w:type="dxa"/>
          </w:tcPr>
          <w:p w14:paraId="47609BC0">
            <w:pPr>
              <w:spacing w:after="0" w:line="240" w:lineRule="auto"/>
              <w:ind w:firstLine="440" w:firstLineChars="200"/>
              <w:jc w:val="both"/>
              <w:rPr>
                <w:rFonts w:hint="eastAsia" w:ascii="宋体" w:hAnsi="宋体" w:eastAsia="宋体" w:cs="宋体"/>
              </w:rPr>
            </w:pPr>
            <w:r>
              <w:rPr>
                <w:rFonts w:hint="eastAsia" w:ascii="宋体" w:hAnsi="宋体" w:eastAsia="宋体" w:cs="宋体"/>
              </w:rPr>
              <w:t>步进，男，河北衡水人。教育学博士，教授，硕士生导师。语文教学论教研室主任，学科教学（语文）专业硕士导师组组长。江苏省教育学会语文课程与教学论研究会理事，教育部“国培计划”小学、初中、高中语文骨干教师项目培训专家，江苏省特级教师研修项目培训专家。主讲“语文课程与教学论”等3门本科生课程及“语文教学设计”等3门硕士生课程。</w:t>
            </w:r>
          </w:p>
        </w:tc>
      </w:tr>
      <w:tr w14:paraId="0818798B">
        <w:tblPrEx>
          <w:tblCellMar>
            <w:top w:w="30" w:type="dxa"/>
            <w:left w:w="0" w:type="dxa"/>
            <w:bottom w:w="30" w:type="dxa"/>
            <w:right w:w="85" w:type="dxa"/>
          </w:tblCellMar>
        </w:tblPrEx>
        <w:trPr>
          <w:cantSplit/>
        </w:trPr>
        <w:tc>
          <w:tcPr>
            <w:tcW w:w="8226" w:type="dxa"/>
            <w:gridSpan w:val="2"/>
          </w:tcPr>
          <w:p w14:paraId="286A10EF">
            <w:pPr>
              <w:spacing w:after="0" w:line="240" w:lineRule="auto"/>
              <w:ind w:firstLine="440" w:firstLineChars="200"/>
              <w:jc w:val="both"/>
              <w:rPr>
                <w:rFonts w:hint="eastAsia" w:ascii="宋体" w:hAnsi="宋体" w:eastAsia="宋体" w:cs="宋体"/>
              </w:rPr>
            </w:pPr>
            <w:r>
              <w:rPr>
                <w:rFonts w:hint="eastAsia" w:ascii="宋体" w:hAnsi="宋体" w:eastAsia="宋体" w:cs="宋体"/>
              </w:rPr>
              <w:t>主持省级以上科研项目6项，在《中国教育学刊》等刊物发表学术论文40余篇，出版《基于学案教学的有效课堂》等著作4部。获2018年国家级教学成果奖（基础教育类）一等奖，2019年徐州市哲学社会科学优秀成果奖一等奖，全国教育硕士教学技能大赛、师范生教学基本功大赛优秀指导教师，江苏师大先进工作者、立德树人研究研究生导师等多项奖励。主要研究方向：课程与教学论（语文）、教师教育学。</w:t>
            </w:r>
          </w:p>
        </w:tc>
      </w:tr>
    </w:tbl>
    <w:p w14:paraId="2DFB7F5F">
      <w:pPr>
        <w:spacing w:line="240" w:lineRule="auto"/>
        <w:rPr>
          <w:rFonts w:hint="eastAsia"/>
        </w:rPr>
      </w:pPr>
    </w:p>
    <w:tbl>
      <w:tblPr>
        <w:tblStyle w:val="15"/>
        <w:tblW w:w="4898" w:type="pct"/>
        <w:tblInd w:w="0" w:type="dxa"/>
        <w:tblLayout w:type="fixed"/>
        <w:tblCellMar>
          <w:top w:w="30" w:type="dxa"/>
          <w:left w:w="0" w:type="dxa"/>
          <w:bottom w:w="30" w:type="dxa"/>
          <w:right w:w="85" w:type="dxa"/>
        </w:tblCellMar>
      </w:tblPr>
      <w:tblGrid>
        <w:gridCol w:w="3495"/>
        <w:gridCol w:w="4647"/>
      </w:tblGrid>
      <w:tr w14:paraId="21A870CB">
        <w:tblPrEx>
          <w:tblCellMar>
            <w:top w:w="30" w:type="dxa"/>
            <w:left w:w="0" w:type="dxa"/>
            <w:bottom w:w="30" w:type="dxa"/>
            <w:right w:w="85" w:type="dxa"/>
          </w:tblCellMar>
        </w:tblPrEx>
        <w:trPr>
          <w:cantSplit/>
        </w:trPr>
        <w:tc>
          <w:tcPr>
            <w:tcW w:w="3531" w:type="dxa"/>
          </w:tcPr>
          <w:p w14:paraId="245229FE">
            <w:pPr>
              <w:spacing w:after="0" w:line="240" w:lineRule="auto"/>
              <w:jc w:val="center"/>
              <w:rPr>
                <w:rFonts w:hint="eastAsia" w:ascii="宋体" w:hAnsi="宋体" w:eastAsia="宋体" w:cs="宋体"/>
              </w:rPr>
            </w:pPr>
            <w:r>
              <w:rPr>
                <w:rFonts w:hint="eastAsia" w:ascii="宋体" w:hAnsi="宋体" w:eastAsia="宋体" w:cs="宋体"/>
              </w:rPr>
              <w:drawing>
                <wp:anchor distT="0" distB="0" distL="114300" distR="114300" simplePos="0" relativeHeight="251660288" behindDoc="0" locked="0" layoutInCell="1" allowOverlap="1">
                  <wp:simplePos x="0" y="0"/>
                  <wp:positionH relativeFrom="column">
                    <wp:posOffset>457200</wp:posOffset>
                  </wp:positionH>
                  <wp:positionV relativeFrom="page">
                    <wp:posOffset>31115</wp:posOffset>
                  </wp:positionV>
                  <wp:extent cx="1309370" cy="1964055"/>
                  <wp:effectExtent l="0" t="0" r="5080" b="171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1309370" cy="1964055"/>
                          </a:xfrm>
                          <a:prstGeom prst="rect">
                            <a:avLst/>
                          </a:prstGeom>
                        </pic:spPr>
                      </pic:pic>
                    </a:graphicData>
                  </a:graphic>
                </wp:anchor>
              </w:drawing>
            </w:r>
          </w:p>
        </w:tc>
        <w:tc>
          <w:tcPr>
            <w:tcW w:w="4695" w:type="dxa"/>
          </w:tcPr>
          <w:p w14:paraId="7F21BDE0">
            <w:pPr>
              <w:spacing w:after="0" w:line="240" w:lineRule="auto"/>
              <w:ind w:firstLine="440" w:firstLineChars="200"/>
              <w:jc w:val="both"/>
              <w:rPr>
                <w:rFonts w:hint="eastAsia" w:ascii="宋体" w:hAnsi="宋体" w:eastAsia="宋体" w:cs="宋体"/>
              </w:rPr>
            </w:pPr>
            <w:r>
              <w:rPr>
                <w:rFonts w:hint="eastAsia" w:ascii="宋体" w:hAnsi="宋体" w:eastAsia="宋体" w:cs="宋体"/>
              </w:rPr>
              <w:t>尹逊才，男，山东新泰人。北京师范大学博士，江苏师范大学文学院教授，硕士生导师，香港大学教育学院访问学者。</w:t>
            </w:r>
          </w:p>
          <w:p w14:paraId="4C7E3AF4">
            <w:pPr>
              <w:spacing w:after="0" w:line="240" w:lineRule="auto"/>
              <w:ind w:firstLine="440" w:firstLineChars="200"/>
              <w:jc w:val="both"/>
              <w:rPr>
                <w:rFonts w:hint="eastAsia" w:ascii="宋体" w:hAnsi="宋体" w:eastAsia="宋体" w:cs="宋体"/>
              </w:rPr>
            </w:pPr>
            <w:r>
              <w:rPr>
                <w:rFonts w:hint="eastAsia" w:ascii="宋体" w:hAnsi="宋体" w:eastAsia="宋体" w:cs="宋体"/>
              </w:rPr>
              <w:t>主持江苏省教育厅高校哲学社会科学基金项目1项，教育部人文社会科学研究一般项目1项。出版专著2部，在《语文建设》《中学语文》等刊物发表学术论文60余篇。2018年荣获江苏省教学成果奖特等奖（排名3），国家教学成果奖一等奖（排名3）。主要研究方向：语文教育史、语文课程与教学论、语文教师专业发展。</w:t>
            </w:r>
          </w:p>
        </w:tc>
      </w:tr>
      <w:tr w14:paraId="7A0AC18B">
        <w:tblPrEx>
          <w:tblCellMar>
            <w:top w:w="30" w:type="dxa"/>
            <w:left w:w="0" w:type="dxa"/>
            <w:bottom w:w="30" w:type="dxa"/>
            <w:right w:w="85" w:type="dxa"/>
          </w:tblCellMar>
        </w:tblPrEx>
        <w:trPr>
          <w:cantSplit/>
        </w:trPr>
        <w:tc>
          <w:tcPr>
            <w:tcW w:w="3531" w:type="dxa"/>
          </w:tcPr>
          <w:p w14:paraId="55FBE087">
            <w:pPr>
              <w:spacing w:after="0" w:line="240" w:lineRule="auto"/>
              <w:jc w:val="both"/>
              <w:rPr>
                <w:rFonts w:hint="eastAsia" w:ascii="宋体" w:hAnsi="宋体" w:eastAsia="宋体" w:cs="宋体"/>
              </w:rPr>
            </w:pPr>
            <w:r>
              <w:rPr>
                <w:rFonts w:hint="eastAsia" w:ascii="宋体" w:hAnsi="宋体" w:eastAsia="宋体" w:cs="宋体"/>
              </w:rPr>
              <w:drawing>
                <wp:anchor distT="0" distB="0" distL="114300" distR="114300" simplePos="0" relativeHeight="251661312" behindDoc="1" locked="0" layoutInCell="1" allowOverlap="1">
                  <wp:simplePos x="0" y="0"/>
                  <wp:positionH relativeFrom="column">
                    <wp:posOffset>110490</wp:posOffset>
                  </wp:positionH>
                  <wp:positionV relativeFrom="page">
                    <wp:posOffset>8255</wp:posOffset>
                  </wp:positionV>
                  <wp:extent cx="2028190" cy="1563370"/>
                  <wp:effectExtent l="0" t="0" r="10160" b="177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2028190" cy="1563370"/>
                          </a:xfrm>
                          <a:prstGeom prst="rect">
                            <a:avLst/>
                          </a:prstGeom>
                        </pic:spPr>
                      </pic:pic>
                    </a:graphicData>
                  </a:graphic>
                </wp:anchor>
              </w:drawing>
            </w:r>
          </w:p>
        </w:tc>
        <w:tc>
          <w:tcPr>
            <w:tcW w:w="4695" w:type="dxa"/>
          </w:tcPr>
          <w:p w14:paraId="3AE19181">
            <w:pPr>
              <w:spacing w:after="0" w:line="240" w:lineRule="auto"/>
              <w:ind w:firstLine="440" w:firstLineChars="200"/>
              <w:jc w:val="both"/>
              <w:rPr>
                <w:rFonts w:hint="eastAsia" w:ascii="宋体" w:hAnsi="宋体" w:eastAsia="宋体" w:cs="宋体"/>
              </w:rPr>
            </w:pPr>
            <w:r>
              <w:rPr>
                <w:rFonts w:hint="eastAsia" w:ascii="宋体" w:hAnsi="宋体" w:eastAsia="宋体" w:cs="宋体"/>
              </w:rPr>
              <w:t>周杰，男，江苏徐州人。华东师范大学博士，江苏师范大学文学院教授，硕士生导师，美国威斯康星大学访问学者。</w:t>
            </w:r>
          </w:p>
          <w:p w14:paraId="7A97E25E">
            <w:pPr>
              <w:spacing w:after="0" w:line="240" w:lineRule="auto"/>
              <w:ind w:firstLine="440" w:firstLineChars="200"/>
              <w:jc w:val="both"/>
              <w:rPr>
                <w:rFonts w:hint="eastAsia" w:ascii="宋体" w:hAnsi="宋体" w:eastAsia="宋体" w:cs="宋体"/>
              </w:rPr>
            </w:pPr>
            <w:r>
              <w:rPr>
                <w:rFonts w:hint="eastAsia" w:ascii="宋体" w:hAnsi="宋体" w:eastAsia="宋体" w:cs="宋体"/>
              </w:rPr>
              <w:t>主持并完成国家社科基金项目、全国教育科学规划教育部重点项目及省厅级项目6项，出版专著1部，参编论著3部。</w:t>
            </w:r>
          </w:p>
          <w:p w14:paraId="2FD42E8E">
            <w:pPr>
              <w:spacing w:after="0" w:line="240" w:lineRule="auto"/>
              <w:ind w:firstLine="440" w:firstLineChars="200"/>
              <w:jc w:val="both"/>
              <w:rPr>
                <w:rFonts w:hint="eastAsia" w:ascii="宋体" w:hAnsi="宋体" w:eastAsia="宋体" w:cs="宋体"/>
              </w:rPr>
            </w:pPr>
            <w:r>
              <w:rPr>
                <w:rFonts w:hint="eastAsia" w:ascii="宋体" w:hAnsi="宋体" w:eastAsia="宋体" w:cs="宋体"/>
              </w:rPr>
              <w:t>在《教育发展研究》《全球教育展望》《教育理论与实践》等刊物发表学术论文30多篇。</w:t>
            </w:r>
          </w:p>
        </w:tc>
      </w:tr>
      <w:tr w14:paraId="3C656288">
        <w:tblPrEx>
          <w:tblCellMar>
            <w:top w:w="30" w:type="dxa"/>
            <w:left w:w="0" w:type="dxa"/>
            <w:bottom w:w="30" w:type="dxa"/>
            <w:right w:w="85" w:type="dxa"/>
          </w:tblCellMar>
        </w:tblPrEx>
        <w:trPr>
          <w:cantSplit/>
        </w:trPr>
        <w:tc>
          <w:tcPr>
            <w:tcW w:w="8226" w:type="dxa"/>
            <w:gridSpan w:val="2"/>
          </w:tcPr>
          <w:p w14:paraId="09AFE809">
            <w:pPr>
              <w:spacing w:after="0" w:line="240" w:lineRule="auto"/>
              <w:ind w:firstLine="440" w:firstLineChars="200"/>
              <w:jc w:val="both"/>
              <w:rPr>
                <w:rFonts w:hint="eastAsia" w:ascii="宋体" w:hAnsi="宋体" w:eastAsia="宋体" w:cs="宋体"/>
              </w:rPr>
            </w:pPr>
            <w:r>
              <w:rPr>
                <w:rFonts w:hint="eastAsia" w:ascii="宋体" w:hAnsi="宋体" w:eastAsia="宋体" w:cs="宋体"/>
              </w:rPr>
              <w:t>获江苏省第十六届、徐州市第十二届哲学社会科学成果奖。参与教学成果奖申报，获江苏省教学成果特等奖、国家级教学成果一等奖。主要研究方向：语文课程与教学论、教师教育。</w:t>
            </w:r>
          </w:p>
        </w:tc>
      </w:tr>
    </w:tbl>
    <w:p w14:paraId="1881DD44">
      <w:pPr>
        <w:spacing w:line="240" w:lineRule="auto"/>
        <w:rPr>
          <w:rFonts w:hint="eastAsia"/>
          <w:sz w:val="18"/>
          <w:szCs w:val="20"/>
        </w:rPr>
      </w:pPr>
    </w:p>
    <w:tbl>
      <w:tblPr>
        <w:tblStyle w:val="15"/>
        <w:tblW w:w="4848" w:type="pct"/>
        <w:tblInd w:w="0" w:type="dxa"/>
        <w:tblLayout w:type="fixed"/>
        <w:tblCellMar>
          <w:top w:w="30" w:type="dxa"/>
          <w:left w:w="0" w:type="dxa"/>
          <w:bottom w:w="30" w:type="dxa"/>
          <w:right w:w="85" w:type="dxa"/>
        </w:tblCellMar>
      </w:tblPr>
      <w:tblGrid>
        <w:gridCol w:w="3460"/>
        <w:gridCol w:w="4599"/>
      </w:tblGrid>
      <w:tr w14:paraId="18B89B52">
        <w:tblPrEx>
          <w:tblCellMar>
            <w:top w:w="30" w:type="dxa"/>
            <w:left w:w="0" w:type="dxa"/>
            <w:bottom w:w="30" w:type="dxa"/>
            <w:right w:w="85" w:type="dxa"/>
          </w:tblCellMar>
        </w:tblPrEx>
        <w:trPr>
          <w:cantSplit/>
        </w:trPr>
        <w:tc>
          <w:tcPr>
            <w:tcW w:w="3495" w:type="dxa"/>
          </w:tcPr>
          <w:p w14:paraId="491235B8">
            <w:pPr>
              <w:spacing w:after="0" w:line="240" w:lineRule="auto"/>
              <w:jc w:val="center"/>
              <w:rPr>
                <w:rFonts w:hint="eastAsia" w:ascii="宋体" w:hAnsi="宋体" w:eastAsia="宋体" w:cs="宋体"/>
              </w:rPr>
            </w:pPr>
            <w:r>
              <w:rPr>
                <w:rFonts w:hint="eastAsia" w:ascii="宋体" w:hAnsi="宋体" w:eastAsia="宋体" w:cs="宋体"/>
              </w:rPr>
              <w:drawing>
                <wp:anchor distT="0" distB="0" distL="114300" distR="114300" simplePos="0" relativeHeight="251662336" behindDoc="1" locked="0" layoutInCell="1" allowOverlap="1">
                  <wp:simplePos x="0" y="0"/>
                  <wp:positionH relativeFrom="column">
                    <wp:posOffset>159385</wp:posOffset>
                  </wp:positionH>
                  <wp:positionV relativeFrom="page">
                    <wp:posOffset>149225</wp:posOffset>
                  </wp:positionV>
                  <wp:extent cx="1830070" cy="2444750"/>
                  <wp:effectExtent l="0" t="0" r="17780" b="1270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1830070" cy="2444750"/>
                          </a:xfrm>
                          <a:prstGeom prst="rect">
                            <a:avLst/>
                          </a:prstGeom>
                        </pic:spPr>
                      </pic:pic>
                    </a:graphicData>
                  </a:graphic>
                </wp:anchor>
              </w:drawing>
            </w:r>
          </w:p>
        </w:tc>
        <w:tc>
          <w:tcPr>
            <w:tcW w:w="4647" w:type="dxa"/>
          </w:tcPr>
          <w:p w14:paraId="5AA3C0A3">
            <w:pPr>
              <w:spacing w:after="0" w:line="240" w:lineRule="auto"/>
              <w:ind w:firstLine="440" w:firstLineChars="200"/>
              <w:rPr>
                <w:rFonts w:hint="eastAsia" w:ascii="宋体" w:hAnsi="宋体" w:eastAsia="宋体" w:cs="宋体"/>
              </w:rPr>
            </w:pPr>
            <w:r>
              <w:rPr>
                <w:rFonts w:hint="eastAsia" w:ascii="宋体" w:hAnsi="宋体" w:eastAsia="宋体" w:cs="宋体"/>
              </w:rPr>
              <w:t>孙文起，男，南京大学中国古代文学博士，江苏师范大学文学院副教授，硕士生研究生导师。承担国家社科基金后期资助项目:唐宋传体文研究。</w:t>
            </w:r>
          </w:p>
          <w:p w14:paraId="57222387">
            <w:pPr>
              <w:spacing w:after="0" w:line="240" w:lineRule="auto"/>
              <w:ind w:firstLine="440" w:firstLineChars="200"/>
              <w:rPr>
                <w:rFonts w:hint="eastAsia" w:ascii="宋体" w:hAnsi="宋体" w:eastAsia="宋体" w:cs="宋体"/>
              </w:rPr>
            </w:pPr>
            <w:r>
              <w:rPr>
                <w:rFonts w:hint="eastAsia" w:ascii="宋体" w:hAnsi="宋体" w:eastAsia="宋体" w:cs="宋体"/>
              </w:rPr>
              <w:t>在《宗教学研究》《北京社会科学》《周易研究》《暨南学报》《中华文化论坛》《古籍研究》《现代传记研究》等刊物先后发表学术论文二十余篇，成果被《新华文摘》《人大复印资料》、“中国社会科学网”转载。</w:t>
            </w:r>
          </w:p>
          <w:p w14:paraId="53B9C49D">
            <w:pPr>
              <w:spacing w:after="0" w:line="240" w:lineRule="auto"/>
              <w:ind w:firstLine="440" w:firstLineChars="200"/>
              <w:rPr>
                <w:rFonts w:hint="eastAsia" w:ascii="宋体" w:hAnsi="宋体" w:eastAsia="宋体" w:cs="宋体"/>
              </w:rPr>
            </w:pPr>
            <w:r>
              <w:rPr>
                <w:rFonts w:hint="eastAsia" w:ascii="宋体" w:hAnsi="宋体" w:eastAsia="宋体" w:cs="宋体"/>
              </w:rPr>
              <w:t>荣获江苏省社科联大会优秀成果二等奖、江苏师范大学青年教师教学比赛二等奖、江苏师范大学文学院最受学生欢迎老师称号。主要研究方向：中国古代小说、中国古代传记文学、语文教学论。</w:t>
            </w:r>
          </w:p>
        </w:tc>
      </w:tr>
    </w:tbl>
    <w:p w14:paraId="7D2B5BEC">
      <w:pPr>
        <w:rPr>
          <w:rFonts w:hint="eastAsia"/>
        </w:rPr>
      </w:pPr>
    </w:p>
    <w:tbl>
      <w:tblPr>
        <w:tblStyle w:val="15"/>
        <w:tblW w:w="4797" w:type="pct"/>
        <w:tblInd w:w="0" w:type="dxa"/>
        <w:tblLayout w:type="fixed"/>
        <w:tblCellMar>
          <w:top w:w="30" w:type="dxa"/>
          <w:left w:w="0" w:type="dxa"/>
          <w:bottom w:w="30" w:type="dxa"/>
          <w:right w:w="85" w:type="dxa"/>
        </w:tblCellMar>
      </w:tblPr>
      <w:tblGrid>
        <w:gridCol w:w="3322"/>
        <w:gridCol w:w="4653"/>
      </w:tblGrid>
      <w:tr w14:paraId="053D504F">
        <w:tblPrEx>
          <w:tblCellMar>
            <w:top w:w="30" w:type="dxa"/>
            <w:left w:w="0" w:type="dxa"/>
            <w:bottom w:w="30" w:type="dxa"/>
            <w:right w:w="85" w:type="dxa"/>
          </w:tblCellMar>
        </w:tblPrEx>
        <w:trPr>
          <w:cantSplit/>
        </w:trPr>
        <w:tc>
          <w:tcPr>
            <w:tcW w:w="3322" w:type="dxa"/>
          </w:tcPr>
          <w:p w14:paraId="0372635A">
            <w:pPr>
              <w:spacing w:after="0" w:line="240" w:lineRule="auto"/>
              <w:jc w:val="center"/>
              <w:rPr>
                <w:rFonts w:hint="eastAsia" w:ascii="宋体" w:hAnsi="宋体" w:eastAsia="宋体" w:cs="宋体"/>
              </w:rPr>
            </w:pPr>
            <w:r>
              <w:rPr>
                <w:rFonts w:hint="eastAsia" w:ascii="宋体" w:hAnsi="宋体" w:eastAsia="宋体" w:cs="宋体"/>
              </w:rPr>
              <w:drawing>
                <wp:anchor distT="0" distB="0" distL="114300" distR="114300" simplePos="0" relativeHeight="251662336" behindDoc="1" locked="0" layoutInCell="1" allowOverlap="1">
                  <wp:simplePos x="0" y="0"/>
                  <wp:positionH relativeFrom="column">
                    <wp:posOffset>147955</wp:posOffset>
                  </wp:positionH>
                  <wp:positionV relativeFrom="page">
                    <wp:posOffset>151130</wp:posOffset>
                  </wp:positionV>
                  <wp:extent cx="1819275" cy="2425065"/>
                  <wp:effectExtent l="0" t="0" r="9525" b="133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1819275" cy="2425065"/>
                          </a:xfrm>
                          <a:prstGeom prst="rect">
                            <a:avLst/>
                          </a:prstGeom>
                        </pic:spPr>
                      </pic:pic>
                    </a:graphicData>
                  </a:graphic>
                </wp:anchor>
              </w:drawing>
            </w:r>
          </w:p>
          <w:p w14:paraId="565A157D">
            <w:pPr>
              <w:spacing w:after="0" w:line="240" w:lineRule="auto"/>
              <w:jc w:val="center"/>
              <w:rPr>
                <w:rFonts w:hint="eastAsia" w:ascii="宋体" w:hAnsi="宋体" w:eastAsia="宋体" w:cs="宋体"/>
              </w:rPr>
            </w:pPr>
          </w:p>
          <w:p w14:paraId="58F7332D">
            <w:pPr>
              <w:spacing w:after="0" w:line="240" w:lineRule="auto"/>
              <w:jc w:val="center"/>
              <w:rPr>
                <w:rFonts w:hint="eastAsia" w:ascii="宋体" w:hAnsi="宋体" w:eastAsia="宋体" w:cs="宋体"/>
              </w:rPr>
            </w:pPr>
          </w:p>
          <w:p w14:paraId="1E732C3A">
            <w:pPr>
              <w:spacing w:after="0" w:line="240" w:lineRule="auto"/>
              <w:jc w:val="center"/>
              <w:rPr>
                <w:rFonts w:hint="eastAsia" w:ascii="宋体" w:hAnsi="宋体" w:eastAsia="宋体" w:cs="宋体"/>
              </w:rPr>
            </w:pPr>
          </w:p>
          <w:p w14:paraId="43746F9B">
            <w:pPr>
              <w:spacing w:after="0" w:line="240" w:lineRule="auto"/>
              <w:jc w:val="center"/>
              <w:rPr>
                <w:rFonts w:hint="eastAsia" w:ascii="宋体" w:hAnsi="宋体" w:eastAsia="宋体" w:cs="宋体"/>
              </w:rPr>
            </w:pPr>
          </w:p>
          <w:p w14:paraId="64EA7289">
            <w:pPr>
              <w:spacing w:after="0" w:line="240" w:lineRule="auto"/>
              <w:jc w:val="center"/>
              <w:rPr>
                <w:rFonts w:hint="eastAsia" w:ascii="宋体" w:hAnsi="宋体" w:eastAsia="宋体" w:cs="宋体"/>
              </w:rPr>
            </w:pPr>
          </w:p>
          <w:p w14:paraId="1138DAD2">
            <w:pPr>
              <w:spacing w:after="0" w:line="240" w:lineRule="auto"/>
              <w:jc w:val="center"/>
              <w:rPr>
                <w:rFonts w:hint="eastAsia" w:ascii="宋体" w:hAnsi="宋体" w:eastAsia="宋体" w:cs="宋体"/>
              </w:rPr>
            </w:pPr>
          </w:p>
          <w:p w14:paraId="4D2F7717">
            <w:pPr>
              <w:spacing w:after="0" w:line="240" w:lineRule="auto"/>
              <w:jc w:val="center"/>
              <w:rPr>
                <w:rFonts w:hint="eastAsia" w:ascii="宋体" w:hAnsi="宋体" w:eastAsia="宋体" w:cs="宋体"/>
              </w:rPr>
            </w:pPr>
          </w:p>
          <w:p w14:paraId="30F88E2A">
            <w:pPr>
              <w:spacing w:after="0" w:line="240" w:lineRule="auto"/>
              <w:jc w:val="center"/>
              <w:rPr>
                <w:rFonts w:hint="eastAsia" w:ascii="宋体" w:hAnsi="宋体" w:eastAsia="宋体" w:cs="宋体"/>
              </w:rPr>
            </w:pPr>
          </w:p>
          <w:p w14:paraId="4A72AECF">
            <w:pPr>
              <w:spacing w:after="0" w:line="240" w:lineRule="auto"/>
              <w:jc w:val="center"/>
              <w:rPr>
                <w:rFonts w:hint="eastAsia" w:ascii="宋体" w:hAnsi="宋体" w:eastAsia="宋体" w:cs="宋体"/>
              </w:rPr>
            </w:pPr>
          </w:p>
          <w:p w14:paraId="2CA914F7">
            <w:pPr>
              <w:spacing w:after="0" w:line="240" w:lineRule="auto"/>
              <w:jc w:val="center"/>
              <w:rPr>
                <w:rFonts w:hint="eastAsia" w:ascii="宋体" w:hAnsi="宋体" w:eastAsia="宋体" w:cs="宋体"/>
              </w:rPr>
            </w:pPr>
          </w:p>
          <w:p w14:paraId="6D96126E">
            <w:pPr>
              <w:spacing w:after="0" w:line="240" w:lineRule="auto"/>
              <w:jc w:val="center"/>
              <w:rPr>
                <w:rFonts w:hint="eastAsia" w:ascii="宋体" w:hAnsi="宋体" w:eastAsia="宋体" w:cs="宋体"/>
              </w:rPr>
            </w:pPr>
          </w:p>
          <w:p w14:paraId="314E09D6">
            <w:pPr>
              <w:spacing w:after="0" w:line="240" w:lineRule="auto"/>
              <w:jc w:val="center"/>
              <w:rPr>
                <w:rFonts w:hint="eastAsia" w:ascii="宋体" w:hAnsi="宋体" w:eastAsia="宋体" w:cs="宋体"/>
              </w:rPr>
            </w:pPr>
          </w:p>
          <w:p w14:paraId="19DC2498">
            <w:pPr>
              <w:spacing w:after="0" w:line="240" w:lineRule="auto"/>
              <w:jc w:val="center"/>
              <w:rPr>
                <w:rFonts w:hint="eastAsia" w:ascii="宋体" w:hAnsi="宋体" w:eastAsia="宋体" w:cs="宋体"/>
              </w:rPr>
            </w:pPr>
          </w:p>
        </w:tc>
        <w:tc>
          <w:tcPr>
            <w:tcW w:w="4653" w:type="dxa"/>
          </w:tcPr>
          <w:p w14:paraId="2D74AA7F">
            <w:pPr>
              <w:spacing w:after="0" w:line="240" w:lineRule="auto"/>
              <w:ind w:firstLine="440" w:firstLineChars="200"/>
              <w:rPr>
                <w:rFonts w:hint="eastAsia" w:ascii="宋体" w:hAnsi="宋体" w:eastAsia="宋体" w:cs="宋体"/>
              </w:rPr>
            </w:pPr>
            <w:r>
              <w:rPr>
                <w:rFonts w:hint="eastAsia" w:ascii="宋体" w:hAnsi="宋体" w:eastAsia="宋体" w:cs="宋体"/>
              </w:rPr>
              <w:t>梁建蕊，女，文学博士，2022年6月毕业于山东大学，现为江苏师范大学文学院副教授。</w:t>
            </w:r>
          </w:p>
          <w:p w14:paraId="6FBD845A">
            <w:pPr>
              <w:spacing w:after="0" w:line="240" w:lineRule="auto"/>
              <w:ind w:firstLine="440" w:firstLineChars="200"/>
              <w:rPr>
                <w:rFonts w:hint="eastAsia" w:ascii="宋体" w:hAnsi="宋体" w:eastAsia="宋体" w:cs="宋体"/>
              </w:rPr>
            </w:pPr>
            <w:r>
              <w:rPr>
                <w:rFonts w:hint="eastAsia" w:ascii="宋体" w:hAnsi="宋体" w:eastAsia="宋体" w:cs="宋体"/>
              </w:rPr>
              <w:t>参与国家社科基金重大项目《中国古代小说理论术语考释与谱系建构》（批准号：19ZDA247）、国家社科基金重点项目《中国文学写人传统及理论谱系研究》（批准号：15AZW007）。</w:t>
            </w:r>
          </w:p>
          <w:p w14:paraId="548B7611">
            <w:pPr>
              <w:spacing w:after="0" w:line="240" w:lineRule="auto"/>
              <w:ind w:firstLine="440" w:firstLineChars="200"/>
              <w:rPr>
                <w:rFonts w:hint="eastAsia" w:ascii="宋体" w:hAnsi="宋体" w:eastAsia="宋体" w:cs="宋体"/>
              </w:rPr>
            </w:pPr>
            <w:r>
              <w:rPr>
                <w:rFonts w:hint="eastAsia" w:ascii="宋体" w:hAnsi="宋体" w:eastAsia="宋体" w:cs="宋体"/>
              </w:rPr>
              <w:t>在《中国文学研究》《明清小说研究》等刊物发表论文十余篇。曾获得山东省优秀毕业生（2022）、山东省研究生优秀成果奖二等奖（2021）、山东大学研究生国家奖学金（2020）等奖励。主要研究方向：中国古代小说、语文教学论。</w:t>
            </w:r>
          </w:p>
        </w:tc>
      </w:tr>
      <w:tr w14:paraId="2F406A7B">
        <w:tblPrEx>
          <w:tblCellMar>
            <w:top w:w="30" w:type="dxa"/>
            <w:left w:w="0" w:type="dxa"/>
            <w:bottom w:w="30" w:type="dxa"/>
            <w:right w:w="85" w:type="dxa"/>
          </w:tblCellMar>
        </w:tblPrEx>
        <w:trPr>
          <w:cantSplit/>
        </w:trPr>
        <w:tc>
          <w:tcPr>
            <w:tcW w:w="3322" w:type="dxa"/>
          </w:tcPr>
          <w:p w14:paraId="1C3E89EB">
            <w:pPr>
              <w:spacing w:after="0" w:line="240" w:lineRule="auto"/>
              <w:jc w:val="both"/>
              <w:rPr>
                <w:rFonts w:hint="eastAsia" w:ascii="宋体" w:hAnsi="宋体" w:eastAsia="宋体" w:cs="宋体"/>
              </w:rPr>
            </w:pPr>
            <w:r>
              <w:rPr>
                <w:rFonts w:hint="eastAsia" w:ascii="宋体" w:hAnsi="宋体" w:eastAsia="宋体" w:cs="宋体"/>
              </w:rPr>
              <w:drawing>
                <wp:anchor distT="0" distB="0" distL="114300" distR="114300" simplePos="0" relativeHeight="251663360" behindDoc="1" locked="0" layoutInCell="1" allowOverlap="1">
                  <wp:simplePos x="0" y="0"/>
                  <wp:positionH relativeFrom="column">
                    <wp:posOffset>381000</wp:posOffset>
                  </wp:positionH>
                  <wp:positionV relativeFrom="paragraph">
                    <wp:posOffset>18415</wp:posOffset>
                  </wp:positionV>
                  <wp:extent cx="1396365" cy="1949450"/>
                  <wp:effectExtent l="0" t="0" r="13335" b="1270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1396365" cy="1949450"/>
                          </a:xfrm>
                          <a:prstGeom prst="rect">
                            <a:avLst/>
                          </a:prstGeom>
                        </pic:spPr>
                      </pic:pic>
                    </a:graphicData>
                  </a:graphic>
                </wp:anchor>
              </w:drawing>
            </w:r>
          </w:p>
        </w:tc>
        <w:tc>
          <w:tcPr>
            <w:tcW w:w="4653" w:type="dxa"/>
          </w:tcPr>
          <w:p w14:paraId="263DBE16">
            <w:pPr>
              <w:spacing w:after="0" w:line="240" w:lineRule="auto"/>
              <w:ind w:firstLine="440" w:firstLineChars="200"/>
              <w:jc w:val="both"/>
              <w:rPr>
                <w:rFonts w:hint="eastAsia" w:ascii="宋体" w:hAnsi="宋体" w:eastAsia="宋体" w:cs="宋体"/>
              </w:rPr>
            </w:pPr>
            <w:r>
              <w:rPr>
                <w:rFonts w:hint="eastAsia" w:ascii="宋体" w:hAnsi="宋体" w:eastAsia="宋体" w:cs="宋体"/>
              </w:rPr>
              <w:t>王林喜，男，徐州市铜山区语文教研员，语文特级教师、正高三级教师。为江苏省语文教师发展专业委员会理事、江苏师范大学文学院兼职硕导、北京语言大学读写研究中心研究员、徐州工程学院兼职教授。</w:t>
            </w:r>
          </w:p>
          <w:p w14:paraId="29B210EF">
            <w:pPr>
              <w:spacing w:after="0" w:line="240" w:lineRule="auto"/>
              <w:ind w:firstLine="440" w:firstLineChars="200"/>
              <w:jc w:val="both"/>
              <w:rPr>
                <w:rFonts w:hint="eastAsia" w:ascii="宋体" w:hAnsi="宋体" w:eastAsia="宋体" w:cs="宋体"/>
              </w:rPr>
            </w:pPr>
            <w:r>
              <w:rPr>
                <w:rFonts w:hint="eastAsia" w:ascii="宋体" w:hAnsi="宋体" w:eastAsia="宋体" w:cs="宋体"/>
              </w:rPr>
              <w:t>获评全国优秀教师、江苏省“333工程”培养对象、江苏省优秀教育工作者、徐州市优秀专家。倡导“文化语文”与“本真教学”。出版《语文教学研析》等专著5部，发表论文120余篇，其中12篇被人大报刊复印资料中心转载。</w:t>
            </w:r>
          </w:p>
        </w:tc>
      </w:tr>
      <w:tr w14:paraId="557105F7">
        <w:tblPrEx>
          <w:tblCellMar>
            <w:top w:w="30" w:type="dxa"/>
            <w:left w:w="0" w:type="dxa"/>
            <w:bottom w:w="30" w:type="dxa"/>
            <w:right w:w="85" w:type="dxa"/>
          </w:tblCellMar>
        </w:tblPrEx>
        <w:trPr>
          <w:cantSplit/>
        </w:trPr>
        <w:tc>
          <w:tcPr>
            <w:tcW w:w="7975" w:type="dxa"/>
            <w:gridSpan w:val="2"/>
          </w:tcPr>
          <w:p w14:paraId="5541B95D">
            <w:pPr>
              <w:spacing w:after="0" w:line="240" w:lineRule="auto"/>
              <w:ind w:firstLine="440" w:firstLineChars="200"/>
              <w:jc w:val="both"/>
              <w:rPr>
                <w:rFonts w:hint="eastAsia" w:ascii="宋体" w:hAnsi="宋体" w:eastAsia="宋体" w:cs="宋体"/>
              </w:rPr>
            </w:pPr>
            <w:r>
              <w:rPr>
                <w:rFonts w:hint="eastAsia" w:ascii="宋体" w:hAnsi="宋体" w:eastAsia="宋体" w:cs="宋体"/>
              </w:rPr>
              <w:t>主持《基于学生世界的初中语文教学策略的构建研究》等省级课题7项。曾获全国课堂教学大赛一等奖，赴各地讲学80余场。参与《辞源》（第三版）、《辞海》（第七、八版）修订工作。为江苏师范大学本科师范生讲授《中学语文课程标准与教材研究》课程。</w:t>
            </w:r>
          </w:p>
        </w:tc>
      </w:tr>
    </w:tbl>
    <w:p w14:paraId="6BFEC51F">
      <w:pPr>
        <w:jc w:val="both"/>
        <w:rPr>
          <w:rFonts w:hint="eastAsia"/>
        </w:rPr>
      </w:pPr>
    </w:p>
    <w:tbl>
      <w:tblPr>
        <w:tblStyle w:val="15"/>
        <w:tblW w:w="4749" w:type="pct"/>
        <w:tblInd w:w="0" w:type="dxa"/>
        <w:tblLayout w:type="fixed"/>
        <w:tblCellMar>
          <w:top w:w="30" w:type="dxa"/>
          <w:left w:w="0" w:type="dxa"/>
          <w:bottom w:w="30" w:type="dxa"/>
          <w:right w:w="85" w:type="dxa"/>
        </w:tblCellMar>
      </w:tblPr>
      <w:tblGrid>
        <w:gridCol w:w="3348"/>
        <w:gridCol w:w="4547"/>
      </w:tblGrid>
      <w:tr w14:paraId="482135DA">
        <w:tblPrEx>
          <w:tblCellMar>
            <w:top w:w="30" w:type="dxa"/>
            <w:left w:w="0" w:type="dxa"/>
            <w:bottom w:w="30" w:type="dxa"/>
            <w:right w:w="85" w:type="dxa"/>
          </w:tblCellMar>
        </w:tblPrEx>
        <w:trPr>
          <w:cantSplit/>
        </w:trPr>
        <w:tc>
          <w:tcPr>
            <w:tcW w:w="3348" w:type="dxa"/>
          </w:tcPr>
          <w:p w14:paraId="27DD21C9">
            <w:pPr>
              <w:spacing w:after="0" w:line="240" w:lineRule="auto"/>
              <w:jc w:val="both"/>
              <w:rPr>
                <w:rFonts w:hint="eastAsia" w:ascii="宋体" w:hAnsi="宋体" w:eastAsia="宋体" w:cs="宋体"/>
              </w:rPr>
            </w:pPr>
            <w:r>
              <w:rPr>
                <w:rFonts w:hint="eastAsia" w:ascii="宋体" w:hAnsi="宋体" w:eastAsia="宋体" w:cs="宋体"/>
              </w:rPr>
              <w:drawing>
                <wp:inline distT="0" distB="0" distL="114300" distR="114300">
                  <wp:extent cx="1999615" cy="1500505"/>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1999615" cy="1500505"/>
                          </a:xfrm>
                          <a:prstGeom prst="rect">
                            <a:avLst/>
                          </a:prstGeom>
                        </pic:spPr>
                      </pic:pic>
                    </a:graphicData>
                  </a:graphic>
                </wp:inline>
              </w:drawing>
            </w:r>
          </w:p>
        </w:tc>
        <w:tc>
          <w:tcPr>
            <w:tcW w:w="4547" w:type="dxa"/>
          </w:tcPr>
          <w:p w14:paraId="6965E8AB">
            <w:pPr>
              <w:spacing w:after="0" w:line="240" w:lineRule="auto"/>
              <w:ind w:firstLine="440" w:firstLineChars="200"/>
              <w:jc w:val="both"/>
              <w:rPr>
                <w:rFonts w:hint="eastAsia" w:ascii="宋体" w:hAnsi="宋体" w:eastAsia="宋体" w:cs="宋体"/>
              </w:rPr>
            </w:pPr>
            <w:r>
              <w:rPr>
                <w:rFonts w:hint="eastAsia" w:ascii="宋体" w:hAnsi="宋体" w:eastAsia="宋体" w:cs="宋体"/>
              </w:rPr>
              <w:t>胡杨，女，中小学正高级教师、江苏省特级教师、江苏省教学名师、江苏师范大学硕士生导师，现任徐州市第三中学教务处处长。</w:t>
            </w:r>
          </w:p>
          <w:p w14:paraId="059BE15C">
            <w:pPr>
              <w:spacing w:after="0" w:line="240" w:lineRule="auto"/>
              <w:ind w:firstLine="440" w:firstLineChars="200"/>
              <w:jc w:val="both"/>
              <w:rPr>
                <w:rFonts w:hint="eastAsia" w:ascii="宋体" w:hAnsi="宋体" w:eastAsia="宋体" w:cs="宋体"/>
              </w:rPr>
            </w:pPr>
            <w:r>
              <w:rPr>
                <w:rFonts w:hint="eastAsia" w:ascii="宋体" w:hAnsi="宋体" w:eastAsia="宋体" w:cs="宋体"/>
              </w:rPr>
              <w:t>曾获江苏省模范教师、徐州市优秀共产党员、徐州市优秀教育工作者、徐州市教科研先进个人等表彰。曾获得江苏省优质课评比一等奖、徐州市优质课评比一等奖、徐州市基本功比赛一等奖等荣誉。</w:t>
            </w:r>
          </w:p>
        </w:tc>
      </w:tr>
      <w:tr w14:paraId="6D697A5D">
        <w:tblPrEx>
          <w:tblCellMar>
            <w:top w:w="30" w:type="dxa"/>
            <w:left w:w="0" w:type="dxa"/>
            <w:bottom w:w="30" w:type="dxa"/>
            <w:right w:w="85" w:type="dxa"/>
          </w:tblCellMar>
        </w:tblPrEx>
        <w:trPr>
          <w:cantSplit/>
        </w:trPr>
        <w:tc>
          <w:tcPr>
            <w:tcW w:w="7895" w:type="dxa"/>
            <w:gridSpan w:val="2"/>
          </w:tcPr>
          <w:p w14:paraId="3D1BC536">
            <w:pPr>
              <w:spacing w:after="0" w:line="240" w:lineRule="auto"/>
              <w:ind w:firstLine="440" w:firstLineChars="200"/>
              <w:jc w:val="both"/>
              <w:rPr>
                <w:rFonts w:hint="eastAsia" w:ascii="宋体" w:hAnsi="宋体" w:eastAsia="宋体" w:cs="宋体"/>
              </w:rPr>
            </w:pPr>
            <w:r>
              <w:rPr>
                <w:rFonts w:hint="eastAsia" w:ascii="宋体" w:hAnsi="宋体" w:eastAsia="宋体" w:cs="宋体"/>
              </w:rPr>
              <w:t>多次获得徐州市教育局嘉奖。多次在徐州市开设公开课，多篇论文在省市级刊物发表，主持、参与多个省市级课题的研究。多年担任徐州市教师教学能力测试、徐州市优质课比赛等评委。从教以来，多年从事高三毕业班教学工作，取得了优异的高考成绩，培养了大批学生考取南大、中国科技大等双一流名校。</w:t>
            </w:r>
          </w:p>
        </w:tc>
      </w:tr>
    </w:tbl>
    <w:p w14:paraId="02882226">
      <w:pPr>
        <w:jc w:val="both"/>
        <w:rPr>
          <w:rFonts w:hint="eastAsia"/>
        </w:rPr>
      </w:pPr>
    </w:p>
    <w:tbl>
      <w:tblPr>
        <w:tblStyle w:val="15"/>
        <w:tblW w:w="4749" w:type="pct"/>
        <w:tblInd w:w="0" w:type="dxa"/>
        <w:tblLayout w:type="fixed"/>
        <w:tblCellMar>
          <w:top w:w="30" w:type="dxa"/>
          <w:left w:w="0" w:type="dxa"/>
          <w:bottom w:w="30" w:type="dxa"/>
          <w:right w:w="85" w:type="dxa"/>
        </w:tblCellMar>
      </w:tblPr>
      <w:tblGrid>
        <w:gridCol w:w="3388"/>
        <w:gridCol w:w="4507"/>
      </w:tblGrid>
      <w:tr w14:paraId="7FACDA1F">
        <w:tblPrEx>
          <w:tblCellMar>
            <w:top w:w="30" w:type="dxa"/>
            <w:left w:w="0" w:type="dxa"/>
            <w:bottom w:w="30" w:type="dxa"/>
            <w:right w:w="85" w:type="dxa"/>
          </w:tblCellMar>
        </w:tblPrEx>
        <w:trPr>
          <w:cantSplit/>
        </w:trPr>
        <w:tc>
          <w:tcPr>
            <w:tcW w:w="3423" w:type="dxa"/>
          </w:tcPr>
          <w:p w14:paraId="3B92AFB2">
            <w:pPr>
              <w:spacing w:after="0" w:line="240" w:lineRule="auto"/>
              <w:jc w:val="both"/>
              <w:rPr>
                <w:rFonts w:hint="eastAsia" w:ascii="宋体" w:hAnsi="宋体" w:eastAsia="宋体" w:cs="宋体"/>
              </w:rPr>
            </w:pPr>
          </w:p>
          <w:p w14:paraId="056B19BC">
            <w:pPr>
              <w:spacing w:after="0" w:line="240" w:lineRule="auto"/>
              <w:jc w:val="both"/>
              <w:rPr>
                <w:rFonts w:hint="eastAsia" w:ascii="宋体" w:hAnsi="宋体" w:eastAsia="宋体" w:cs="宋体"/>
              </w:rPr>
            </w:pPr>
          </w:p>
          <w:p w14:paraId="78C6F226">
            <w:pPr>
              <w:spacing w:after="0" w:line="240" w:lineRule="auto"/>
              <w:jc w:val="both"/>
              <w:rPr>
                <w:rFonts w:hint="eastAsia" w:ascii="宋体" w:hAnsi="宋体" w:eastAsia="宋体" w:cs="宋体"/>
              </w:rPr>
            </w:pPr>
          </w:p>
          <w:p w14:paraId="03448622">
            <w:pPr>
              <w:spacing w:after="0" w:line="240" w:lineRule="auto"/>
              <w:jc w:val="both"/>
              <w:rPr>
                <w:rFonts w:hint="eastAsia" w:ascii="宋体" w:hAnsi="宋体" w:eastAsia="宋体" w:cs="宋体"/>
              </w:rPr>
            </w:pPr>
          </w:p>
          <w:p w14:paraId="76DA703C">
            <w:pPr>
              <w:spacing w:after="0" w:line="240" w:lineRule="auto"/>
              <w:jc w:val="both"/>
              <w:rPr>
                <w:rFonts w:hint="eastAsia" w:ascii="宋体" w:hAnsi="宋体" w:eastAsia="宋体" w:cs="宋体"/>
              </w:rPr>
            </w:pPr>
          </w:p>
          <w:p w14:paraId="35109C3F">
            <w:pPr>
              <w:spacing w:after="0" w:line="240" w:lineRule="auto"/>
              <w:jc w:val="both"/>
              <w:rPr>
                <w:rFonts w:hint="eastAsia" w:ascii="宋体" w:hAnsi="宋体" w:eastAsia="宋体" w:cs="宋体"/>
              </w:rPr>
            </w:pPr>
          </w:p>
          <w:p w14:paraId="5946DD66">
            <w:pPr>
              <w:spacing w:after="0" w:line="240" w:lineRule="auto"/>
              <w:jc w:val="both"/>
              <w:rPr>
                <w:rFonts w:hint="eastAsia" w:ascii="宋体" w:hAnsi="宋体" w:eastAsia="宋体" w:cs="宋体"/>
              </w:rPr>
            </w:pPr>
          </w:p>
          <w:p w14:paraId="0EA87AF5">
            <w:pPr>
              <w:spacing w:after="0" w:line="240" w:lineRule="auto"/>
              <w:jc w:val="both"/>
              <w:rPr>
                <w:rFonts w:hint="eastAsia" w:ascii="宋体" w:hAnsi="宋体" w:eastAsia="宋体" w:cs="宋体"/>
              </w:rPr>
            </w:pPr>
          </w:p>
          <w:p w14:paraId="7081C7DE">
            <w:pPr>
              <w:spacing w:after="0" w:line="240" w:lineRule="auto"/>
              <w:jc w:val="both"/>
              <w:rPr>
                <w:rFonts w:hint="eastAsia" w:ascii="宋体" w:hAnsi="宋体" w:eastAsia="宋体" w:cs="宋体"/>
              </w:rPr>
            </w:pPr>
          </w:p>
          <w:p w14:paraId="3DDD78B3">
            <w:pPr>
              <w:spacing w:after="0" w:line="240" w:lineRule="auto"/>
              <w:jc w:val="both"/>
              <w:rPr>
                <w:rFonts w:hint="eastAsia" w:ascii="宋体" w:hAnsi="宋体" w:eastAsia="宋体" w:cs="宋体"/>
              </w:rPr>
            </w:pPr>
          </w:p>
          <w:p w14:paraId="746C37FA">
            <w:pPr>
              <w:spacing w:after="0" w:line="240" w:lineRule="auto"/>
              <w:jc w:val="both"/>
              <w:rPr>
                <w:rFonts w:hint="eastAsia" w:ascii="宋体" w:hAnsi="宋体" w:eastAsia="宋体" w:cs="宋体"/>
              </w:rPr>
            </w:pPr>
            <w:r>
              <w:rPr>
                <w:rFonts w:hint="eastAsia" w:ascii="宋体" w:hAnsi="宋体" w:eastAsia="宋体" w:cs="宋体"/>
              </w:rPr>
              <w:drawing>
                <wp:anchor distT="0" distB="0" distL="114300" distR="114300" simplePos="0" relativeHeight="251664384" behindDoc="1" locked="0" layoutInCell="1" allowOverlap="1">
                  <wp:simplePos x="0" y="0"/>
                  <wp:positionH relativeFrom="column">
                    <wp:posOffset>324485</wp:posOffset>
                  </wp:positionH>
                  <wp:positionV relativeFrom="page">
                    <wp:posOffset>32385</wp:posOffset>
                  </wp:positionV>
                  <wp:extent cx="1433195" cy="2146935"/>
                  <wp:effectExtent l="0" t="0" r="14605"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tretch>
                            <a:fillRect/>
                          </a:stretch>
                        </pic:blipFill>
                        <pic:spPr>
                          <a:xfrm>
                            <a:off x="0" y="0"/>
                            <a:ext cx="1433195" cy="2146935"/>
                          </a:xfrm>
                          <a:prstGeom prst="rect">
                            <a:avLst/>
                          </a:prstGeom>
                        </pic:spPr>
                      </pic:pic>
                    </a:graphicData>
                  </a:graphic>
                </wp:anchor>
              </w:drawing>
            </w:r>
          </w:p>
        </w:tc>
        <w:tc>
          <w:tcPr>
            <w:tcW w:w="4553" w:type="dxa"/>
          </w:tcPr>
          <w:p w14:paraId="76AC6090">
            <w:pPr>
              <w:spacing w:after="0" w:line="240" w:lineRule="auto"/>
              <w:ind w:firstLine="440" w:firstLineChars="200"/>
              <w:jc w:val="both"/>
              <w:rPr>
                <w:rFonts w:hint="eastAsia" w:ascii="宋体" w:hAnsi="宋体" w:eastAsia="宋体" w:cs="宋体"/>
              </w:rPr>
            </w:pPr>
            <w:r>
              <w:rPr>
                <w:rFonts w:hint="eastAsia" w:ascii="宋体" w:hAnsi="宋体" w:eastAsia="宋体" w:cs="宋体"/>
              </w:rPr>
              <w:t>查晓红，女，江苏省特级教师，徐州市鼓楼区教师发展中心原教研室主任，小学语文教研员，江苏师范大学研究生导师，师从于永正先生。</w:t>
            </w:r>
          </w:p>
          <w:p w14:paraId="4E016022">
            <w:pPr>
              <w:spacing w:after="0" w:line="240" w:lineRule="auto"/>
              <w:ind w:firstLine="440" w:firstLineChars="200"/>
              <w:jc w:val="both"/>
              <w:rPr>
                <w:rFonts w:hint="eastAsia" w:ascii="宋体" w:hAnsi="宋体" w:eastAsia="宋体" w:cs="宋体"/>
              </w:rPr>
            </w:pPr>
            <w:r>
              <w:rPr>
                <w:rFonts w:hint="eastAsia" w:ascii="宋体" w:hAnsi="宋体" w:eastAsia="宋体" w:cs="宋体"/>
              </w:rPr>
              <w:t>获评江苏省优秀班主任、省教科研先进个人、徐州市五一劳动奖章，作为核心成员，荣获国家级教学成果一等奖，江苏省教学成果特等奖。</w:t>
            </w:r>
          </w:p>
          <w:p w14:paraId="25D1E0E1">
            <w:pPr>
              <w:spacing w:after="0" w:line="240" w:lineRule="auto"/>
              <w:ind w:firstLine="440" w:firstLineChars="200"/>
              <w:jc w:val="both"/>
              <w:rPr>
                <w:rFonts w:hint="eastAsia" w:ascii="宋体" w:hAnsi="宋体" w:eastAsia="宋体" w:cs="宋体"/>
              </w:rPr>
            </w:pPr>
            <w:r>
              <w:rPr>
                <w:rFonts w:hint="eastAsia" w:ascii="宋体" w:hAnsi="宋体" w:eastAsia="宋体" w:cs="宋体"/>
              </w:rPr>
              <w:t>主持多项省级重点课题，在《人民教育》《语文建设》等期刊发表论文五十余篇。</w:t>
            </w:r>
          </w:p>
        </w:tc>
      </w:tr>
    </w:tbl>
    <w:p w14:paraId="2538D4EB">
      <w:pPr>
        <w:spacing w:after="0" w:line="240" w:lineRule="auto"/>
        <w:rPr>
          <w:rFonts w:hint="eastAsia" w:ascii="宋体" w:hAnsi="宋体" w:eastAsia="宋体" w:cs="宋体"/>
        </w:rPr>
      </w:pPr>
    </w:p>
    <w:p w14:paraId="104D0661">
      <w:pPr>
        <w:spacing w:after="0" w:line="240" w:lineRule="auto"/>
        <w:rPr>
          <w:rFonts w:hint="eastAsia" w:ascii="宋体" w:hAnsi="宋体" w:eastAsia="宋体" w:cs="宋体"/>
        </w:rPr>
      </w:pPr>
    </w:p>
    <w:p w14:paraId="75FA63E5">
      <w:pPr>
        <w:spacing w:after="0" w:line="240" w:lineRule="auto"/>
        <w:rPr>
          <w:rFonts w:hint="eastAsia" w:ascii="宋体" w:hAnsi="宋体" w:eastAsia="宋体" w:cs="宋体"/>
        </w:rPr>
      </w:pPr>
    </w:p>
    <w:p w14:paraId="21D72BEC">
      <w:pPr>
        <w:spacing w:after="0" w:line="240" w:lineRule="auto"/>
        <w:rPr>
          <w:rFonts w:hint="eastAsia" w:ascii="宋体" w:hAnsi="宋体" w:eastAsia="宋体" w:cs="宋体"/>
        </w:rPr>
      </w:pPr>
      <w:r>
        <w:rPr>
          <w:rFonts w:hint="eastAsia" w:ascii="宋体" w:hAnsi="宋体" w:eastAsia="宋体" w:cs="宋体"/>
          <w:b/>
        </w:rPr>
        <w:t>2.课程资源</w:t>
      </w:r>
    </w:p>
    <w:p w14:paraId="56BCCD95">
      <w:pPr>
        <w:spacing w:after="0" w:line="240" w:lineRule="auto"/>
        <w:ind w:firstLine="440"/>
        <w:jc w:val="both"/>
        <w:rPr>
          <w:rFonts w:hint="eastAsia" w:ascii="宋体" w:hAnsi="宋体" w:eastAsia="宋体" w:cs="宋体"/>
        </w:rPr>
      </w:pPr>
      <w:r>
        <w:rPr>
          <w:rFonts w:hint="eastAsia" w:ascii="宋体" w:hAnsi="宋体" w:eastAsia="宋体" w:cs="宋体"/>
        </w:rPr>
        <w:t>文学院具备多媒体教室、微格教学实验室、数字化教学平台等教学资源，能够满足微专业课堂教学与技能实训的需要。教学研究可依托学校图书馆跨学科文献服务体系。文学院已与多所优质中小学建立协同育人合作关系，具备聘请一线教师担任行业导师、开展实践教学的坚实合作基础。</w:t>
      </w:r>
    </w:p>
    <w:p w14:paraId="2427A698">
      <w:pPr>
        <w:spacing w:after="0" w:line="240" w:lineRule="auto"/>
        <w:jc w:val="both"/>
        <w:rPr>
          <w:rFonts w:hint="eastAsia" w:ascii="宋体" w:hAnsi="宋体" w:eastAsia="宋体" w:cs="宋体"/>
        </w:rPr>
      </w:pPr>
      <w:r>
        <w:rPr>
          <w:rFonts w:hint="eastAsia" w:ascii="宋体" w:hAnsi="宋体" w:eastAsia="宋体" w:cs="宋体"/>
          <w:b/>
        </w:rPr>
        <w:t>3.创新创业平台</w:t>
      </w:r>
    </w:p>
    <w:p w14:paraId="202EEA6A">
      <w:pPr>
        <w:spacing w:after="0" w:line="240" w:lineRule="auto"/>
        <w:ind w:firstLine="440"/>
        <w:jc w:val="both"/>
        <w:rPr>
          <w:rFonts w:hint="eastAsia" w:ascii="宋体" w:hAnsi="宋体" w:eastAsia="宋体" w:cs="宋体"/>
        </w:rPr>
      </w:pPr>
      <w:r>
        <w:rPr>
          <w:rFonts w:hint="eastAsia" w:ascii="宋体" w:hAnsi="宋体" w:eastAsia="宋体" w:cs="宋体"/>
        </w:rPr>
        <w:t>文学院现有教育实习基地学校含徐州市内37所中学、县区14所，并与江苏省、浙江省多所名校建立合作关系，均可作为创新创业平台。</w:t>
      </w:r>
    </w:p>
    <w:p w14:paraId="42E3AC24">
      <w:pPr>
        <w:spacing w:after="0" w:line="240" w:lineRule="auto"/>
        <w:jc w:val="both"/>
        <w:rPr>
          <w:rFonts w:hint="eastAsia" w:ascii="宋体" w:hAnsi="宋体" w:eastAsia="宋体" w:cs="宋体"/>
        </w:rPr>
      </w:pPr>
      <w:r>
        <w:rPr>
          <w:rFonts w:hint="eastAsia" w:ascii="宋体" w:hAnsi="宋体" w:eastAsia="宋体" w:cs="宋体"/>
          <w:b/>
        </w:rPr>
        <w:t>五、招生对象及条件</w:t>
      </w:r>
    </w:p>
    <w:p w14:paraId="334FAD6E">
      <w:pPr>
        <w:spacing w:after="0" w:line="240" w:lineRule="auto"/>
        <w:ind w:firstLine="440"/>
        <w:jc w:val="both"/>
        <w:rPr>
          <w:rFonts w:hint="eastAsia" w:ascii="宋体" w:hAnsi="宋体" w:eastAsia="宋体" w:cs="宋体"/>
        </w:rPr>
      </w:pPr>
      <w:r>
        <w:rPr>
          <w:rFonts w:hint="eastAsia" w:ascii="宋体" w:hAnsi="宋体" w:eastAsia="宋体" w:cs="宋体"/>
          <w:b/>
        </w:rPr>
        <w:t>（一）招生对象：</w:t>
      </w:r>
      <w:r>
        <w:rPr>
          <w:rFonts w:hint="eastAsia" w:ascii="宋体" w:hAnsi="宋体" w:eastAsia="宋体" w:cs="宋体"/>
        </w:rPr>
        <w:t>全校本科生和硕士生</w:t>
      </w:r>
    </w:p>
    <w:p w14:paraId="12BD3253">
      <w:pPr>
        <w:spacing w:after="0" w:line="240" w:lineRule="auto"/>
        <w:ind w:firstLine="440"/>
        <w:jc w:val="both"/>
        <w:rPr>
          <w:rFonts w:hint="eastAsia" w:ascii="宋体" w:hAnsi="宋体" w:eastAsia="宋体" w:cs="宋体"/>
        </w:rPr>
      </w:pPr>
      <w:r>
        <w:rPr>
          <w:rFonts w:hint="eastAsia" w:ascii="宋体" w:hAnsi="宋体" w:eastAsia="宋体" w:cs="宋体"/>
          <w:b/>
        </w:rPr>
        <w:t>（二）计划招生人数：</w:t>
      </w:r>
      <w:r>
        <w:rPr>
          <w:rFonts w:hint="eastAsia" w:ascii="宋体" w:hAnsi="宋体" w:eastAsia="宋体" w:cs="宋体"/>
        </w:rPr>
        <w:t>50人</w:t>
      </w:r>
    </w:p>
    <w:p w14:paraId="7F405A10">
      <w:pPr>
        <w:spacing w:after="0" w:line="240" w:lineRule="auto"/>
        <w:ind w:firstLine="440"/>
        <w:jc w:val="both"/>
        <w:rPr>
          <w:rFonts w:hint="eastAsia" w:ascii="宋体" w:hAnsi="宋体" w:eastAsia="宋体" w:cs="宋体"/>
        </w:rPr>
      </w:pPr>
      <w:r>
        <w:rPr>
          <w:rFonts w:hint="eastAsia" w:ascii="宋体" w:hAnsi="宋体" w:eastAsia="宋体" w:cs="宋体"/>
          <w:b/>
        </w:rPr>
        <w:t>（三）学制、学分：</w:t>
      </w:r>
      <w:r>
        <w:rPr>
          <w:rFonts w:hint="eastAsia" w:ascii="宋体" w:hAnsi="宋体" w:eastAsia="宋体" w:cs="宋体"/>
        </w:rPr>
        <w:t>1年、8学分</w:t>
      </w:r>
    </w:p>
    <w:p w14:paraId="62CC15B1">
      <w:pPr>
        <w:spacing w:after="0" w:line="240" w:lineRule="auto"/>
        <w:ind w:firstLine="440"/>
        <w:jc w:val="both"/>
        <w:rPr>
          <w:rFonts w:hint="eastAsia" w:ascii="宋体" w:hAnsi="宋体" w:eastAsia="宋体" w:cs="宋体"/>
        </w:rPr>
      </w:pPr>
      <w:r>
        <w:rPr>
          <w:rFonts w:hint="eastAsia" w:ascii="宋体" w:hAnsi="宋体" w:eastAsia="宋体" w:cs="宋体"/>
          <w:b/>
        </w:rPr>
        <w:t>（四）收费标准：</w:t>
      </w:r>
      <w:r>
        <w:rPr>
          <w:rFonts w:hint="eastAsia" w:ascii="宋体" w:hAnsi="宋体" w:eastAsia="宋体" w:cs="宋体"/>
        </w:rPr>
        <w:t>80元/分，合计640元</w:t>
      </w:r>
    </w:p>
    <w:p w14:paraId="4A690722">
      <w:pPr>
        <w:spacing w:after="0" w:line="240" w:lineRule="auto"/>
        <w:ind w:firstLine="440"/>
        <w:jc w:val="both"/>
        <w:rPr>
          <w:rFonts w:hint="eastAsia" w:ascii="宋体" w:hAnsi="宋体" w:eastAsia="宋体" w:cs="宋体"/>
        </w:rPr>
      </w:pPr>
      <w:r>
        <w:rPr>
          <w:rFonts w:hint="eastAsia" w:ascii="宋体" w:hAnsi="宋体" w:eastAsia="宋体" w:cs="宋体"/>
          <w:b/>
        </w:rPr>
        <w:t>（五）授课方式：</w:t>
      </w:r>
      <w:r>
        <w:rPr>
          <w:rFonts w:hint="eastAsia" w:ascii="宋体" w:hAnsi="宋体" w:eastAsia="宋体" w:cs="宋体"/>
        </w:rPr>
        <w:t>独立开班，利用课余时间授课。线上线下混合式教学。</w:t>
      </w:r>
    </w:p>
    <w:p w14:paraId="3A438968">
      <w:pPr>
        <w:spacing w:after="0" w:line="360" w:lineRule="auto"/>
        <w:jc w:val="both"/>
        <w:rPr>
          <w:rFonts w:hint="eastAsia" w:ascii="宋体" w:hAnsi="宋体" w:eastAsia="宋体" w:cs="宋体"/>
        </w:rPr>
      </w:pPr>
      <w:r>
        <w:rPr>
          <w:rFonts w:hint="eastAsia" w:ascii="宋体" w:hAnsi="宋体" w:eastAsia="宋体" w:cs="宋体"/>
          <w:b/>
        </w:rPr>
        <w:t>六、学分认定与证书授予</w:t>
      </w:r>
    </w:p>
    <w:p w14:paraId="4BFB1D64">
      <w:pPr>
        <w:spacing w:after="0" w:line="240" w:lineRule="auto"/>
        <w:ind w:firstLine="440"/>
        <w:jc w:val="both"/>
        <w:rPr>
          <w:rFonts w:hint="eastAsia" w:ascii="宋体" w:hAnsi="宋体" w:eastAsia="宋体" w:cs="宋体"/>
        </w:rPr>
      </w:pPr>
      <w:r>
        <w:rPr>
          <w:rFonts w:hint="eastAsia" w:ascii="宋体" w:hAnsi="宋体" w:eastAsia="宋体" w:cs="宋体"/>
        </w:rPr>
        <w:t>学生完成微专业培养方案规定的课程并达到学习要求，由微专业所在学院审核后提出结业名单，报教务处备案，由教务处统一颁发结业证书和成绩单；微专业是非学历教育，不授予学位。如果</w:t>
      </w:r>
      <w:r>
        <w:rPr>
          <w:rFonts w:hint="eastAsia" w:ascii="宋体" w:hAnsi="宋体" w:eastAsia="宋体" w:cs="宋体"/>
          <w:lang w:val="en-US" w:eastAsia="zh-CN"/>
        </w:rPr>
        <w:t>本</w:t>
      </w:r>
      <w:r>
        <w:rPr>
          <w:rFonts w:hint="eastAsia" w:ascii="宋体" w:hAnsi="宋体" w:eastAsia="宋体" w:cs="宋体"/>
        </w:rPr>
        <w:t>微专业成功入库教育部学信网</w:t>
      </w:r>
      <w:r>
        <w:rPr>
          <w:rFonts w:hint="eastAsia" w:ascii="宋体" w:hAnsi="宋体" w:eastAsia="宋体" w:cs="宋体"/>
          <w:lang w:val="en-US" w:eastAsia="zh-CN"/>
        </w:rPr>
        <w:t>获得</w:t>
      </w:r>
      <w:r>
        <w:rPr>
          <w:rFonts w:hint="eastAsia" w:ascii="宋体" w:hAnsi="宋体" w:eastAsia="宋体" w:cs="宋体"/>
        </w:rPr>
        <w:t>备案，毕业生及用人单位可登录学信网查询相关</w:t>
      </w:r>
      <w:bookmarkStart w:id="0" w:name="_GoBack"/>
      <w:bookmarkEnd w:id="0"/>
      <w:r>
        <w:rPr>
          <w:rFonts w:hint="eastAsia" w:ascii="宋体" w:hAnsi="宋体" w:eastAsia="宋体" w:cs="宋体"/>
        </w:rPr>
        <w:t>修读信息。</w:t>
      </w:r>
    </w:p>
    <w:p w14:paraId="7BA37185">
      <w:pPr>
        <w:spacing w:after="0" w:line="360" w:lineRule="auto"/>
        <w:jc w:val="both"/>
        <w:rPr>
          <w:rFonts w:hint="eastAsia" w:ascii="宋体" w:hAnsi="宋体" w:eastAsia="宋体" w:cs="宋体"/>
        </w:rPr>
      </w:pPr>
      <w:r>
        <w:rPr>
          <w:rFonts w:hint="eastAsia" w:ascii="宋体" w:hAnsi="宋体" w:eastAsia="宋体" w:cs="宋体"/>
          <w:b/>
        </w:rPr>
        <w:t>七、微专业课程</w:t>
      </w:r>
    </w:p>
    <w:p w14:paraId="4847069C">
      <w:pPr>
        <w:spacing w:after="0" w:line="240" w:lineRule="auto"/>
        <w:jc w:val="both"/>
        <w:rPr>
          <w:rFonts w:hint="eastAsia" w:ascii="宋体" w:hAnsi="宋体" w:eastAsia="宋体" w:cs="宋体"/>
          <w:b/>
        </w:rPr>
      </w:pPr>
      <w:r>
        <w:rPr>
          <w:rFonts w:hint="eastAsia" w:ascii="宋体" w:hAnsi="宋体" w:eastAsia="宋体" w:cs="宋体"/>
          <w:b/>
        </w:rPr>
        <w:t>（一）课程设置及学时分配表</w:t>
      </w:r>
    </w:p>
    <w:tbl>
      <w:tblPr>
        <w:tblStyle w:val="15"/>
        <w:tblW w:w="5000" w:type="pct"/>
        <w:jc w:val="center"/>
        <w:tblLayout w:type="fixed"/>
        <w:tblCellMar>
          <w:top w:w="40" w:type="dxa"/>
          <w:left w:w="60" w:type="dxa"/>
          <w:bottom w:w="40" w:type="dxa"/>
          <w:right w:w="60" w:type="dxa"/>
        </w:tblCellMar>
      </w:tblPr>
      <w:tblGrid>
        <w:gridCol w:w="576"/>
        <w:gridCol w:w="3063"/>
        <w:gridCol w:w="641"/>
        <w:gridCol w:w="600"/>
        <w:gridCol w:w="1148"/>
        <w:gridCol w:w="1095"/>
        <w:gridCol w:w="1188"/>
      </w:tblGrid>
      <w:tr w14:paraId="3A89A085">
        <w:tblPrEx>
          <w:tblCellMar>
            <w:top w:w="40" w:type="dxa"/>
            <w:left w:w="60" w:type="dxa"/>
            <w:bottom w:w="40" w:type="dxa"/>
            <w:right w:w="60" w:type="dxa"/>
          </w:tblCellMar>
        </w:tblPrEx>
        <w:trPr>
          <w:trHeight w:val="510" w:hRule="atLeast"/>
          <w:jc w:val="center"/>
        </w:trPr>
        <w:tc>
          <w:tcPr>
            <w:tcW w:w="577" w:type="dxa"/>
            <w:tcBorders>
              <w:top w:val="single" w:color="000000" w:sz="6" w:space="0"/>
              <w:left w:val="single" w:color="000000" w:sz="6" w:space="0"/>
              <w:bottom w:val="single" w:color="000000" w:sz="6" w:space="0"/>
              <w:right w:val="single" w:color="000000" w:sz="6" w:space="0"/>
            </w:tcBorders>
            <w:vAlign w:val="center"/>
          </w:tcPr>
          <w:p w14:paraId="67D55BEC">
            <w:pPr>
              <w:spacing w:after="0" w:line="240" w:lineRule="auto"/>
              <w:jc w:val="center"/>
              <w:rPr>
                <w:rFonts w:hint="eastAsia" w:ascii="宋体" w:hAnsi="宋体" w:eastAsia="宋体" w:cs="宋体"/>
              </w:rPr>
            </w:pPr>
            <w:r>
              <w:rPr>
                <w:rFonts w:hint="eastAsia" w:ascii="宋体" w:hAnsi="宋体" w:eastAsia="宋体" w:cs="宋体"/>
                <w:b/>
              </w:rPr>
              <w:t>序号</w:t>
            </w:r>
          </w:p>
        </w:tc>
        <w:tc>
          <w:tcPr>
            <w:tcW w:w="3063" w:type="dxa"/>
            <w:tcBorders>
              <w:top w:val="single" w:color="000000" w:sz="6" w:space="0"/>
              <w:left w:val="single" w:color="000000" w:sz="6" w:space="0"/>
              <w:bottom w:val="single" w:color="000000" w:sz="6" w:space="0"/>
              <w:right w:val="single" w:color="000000" w:sz="6" w:space="0"/>
            </w:tcBorders>
            <w:vAlign w:val="center"/>
          </w:tcPr>
          <w:p w14:paraId="7F3450FC">
            <w:pPr>
              <w:spacing w:after="0" w:line="240" w:lineRule="auto"/>
              <w:jc w:val="center"/>
              <w:rPr>
                <w:rFonts w:hint="eastAsia" w:ascii="宋体" w:hAnsi="宋体" w:eastAsia="宋体" w:cs="宋体"/>
              </w:rPr>
            </w:pPr>
            <w:r>
              <w:rPr>
                <w:rFonts w:hint="eastAsia" w:ascii="宋体" w:hAnsi="宋体" w:eastAsia="宋体" w:cs="宋体"/>
                <w:b/>
              </w:rPr>
              <w:t>课程名称</w:t>
            </w:r>
          </w:p>
        </w:tc>
        <w:tc>
          <w:tcPr>
            <w:tcW w:w="641" w:type="dxa"/>
            <w:tcBorders>
              <w:top w:val="single" w:color="000000" w:sz="6" w:space="0"/>
              <w:left w:val="single" w:color="000000" w:sz="6" w:space="0"/>
              <w:bottom w:val="single" w:color="000000" w:sz="6" w:space="0"/>
              <w:right w:val="single" w:color="000000" w:sz="6" w:space="0"/>
            </w:tcBorders>
            <w:vAlign w:val="center"/>
          </w:tcPr>
          <w:p w14:paraId="1513D51A">
            <w:pPr>
              <w:spacing w:after="0" w:line="240" w:lineRule="auto"/>
              <w:jc w:val="center"/>
              <w:rPr>
                <w:rFonts w:hint="eastAsia" w:ascii="宋体" w:hAnsi="宋体" w:eastAsia="宋体" w:cs="宋体"/>
              </w:rPr>
            </w:pPr>
            <w:r>
              <w:rPr>
                <w:rFonts w:hint="eastAsia" w:ascii="宋体" w:hAnsi="宋体" w:eastAsia="宋体" w:cs="宋体"/>
                <w:b/>
              </w:rPr>
              <w:t>学分</w:t>
            </w:r>
          </w:p>
        </w:tc>
        <w:tc>
          <w:tcPr>
            <w:tcW w:w="600" w:type="dxa"/>
            <w:tcBorders>
              <w:top w:val="single" w:color="000000" w:sz="6" w:space="0"/>
              <w:left w:val="single" w:color="000000" w:sz="6" w:space="0"/>
              <w:bottom w:val="single" w:color="000000" w:sz="6" w:space="0"/>
              <w:right w:val="single" w:color="000000" w:sz="6" w:space="0"/>
            </w:tcBorders>
            <w:vAlign w:val="center"/>
          </w:tcPr>
          <w:p w14:paraId="34E2FC2B">
            <w:pPr>
              <w:spacing w:after="0" w:line="240" w:lineRule="auto"/>
              <w:jc w:val="center"/>
              <w:rPr>
                <w:rFonts w:hint="eastAsia" w:ascii="宋体" w:hAnsi="宋体" w:eastAsia="宋体" w:cs="宋体"/>
              </w:rPr>
            </w:pPr>
            <w:r>
              <w:rPr>
                <w:rFonts w:hint="eastAsia" w:ascii="宋体" w:hAnsi="宋体" w:eastAsia="宋体" w:cs="宋体"/>
                <w:b/>
              </w:rPr>
              <w:t>学时</w:t>
            </w:r>
          </w:p>
        </w:tc>
        <w:tc>
          <w:tcPr>
            <w:tcW w:w="1148" w:type="dxa"/>
            <w:tcBorders>
              <w:top w:val="single" w:color="000000" w:sz="6" w:space="0"/>
              <w:left w:val="single" w:color="000000" w:sz="6" w:space="0"/>
              <w:bottom w:val="single" w:color="000000" w:sz="6" w:space="0"/>
              <w:right w:val="single" w:color="000000" w:sz="6" w:space="0"/>
            </w:tcBorders>
            <w:vAlign w:val="center"/>
          </w:tcPr>
          <w:p w14:paraId="02F0E088">
            <w:pPr>
              <w:spacing w:after="0" w:line="240" w:lineRule="auto"/>
              <w:jc w:val="center"/>
              <w:rPr>
                <w:rFonts w:hint="eastAsia" w:ascii="宋体" w:hAnsi="宋体" w:eastAsia="宋体" w:cs="宋体"/>
              </w:rPr>
            </w:pPr>
            <w:r>
              <w:rPr>
                <w:rFonts w:hint="eastAsia" w:ascii="宋体" w:hAnsi="宋体" w:eastAsia="宋体" w:cs="宋体"/>
                <w:b/>
              </w:rPr>
              <w:t>开设学期</w:t>
            </w:r>
          </w:p>
        </w:tc>
        <w:tc>
          <w:tcPr>
            <w:tcW w:w="1095" w:type="dxa"/>
            <w:tcBorders>
              <w:top w:val="single" w:color="000000" w:sz="6" w:space="0"/>
              <w:left w:val="single" w:color="000000" w:sz="6" w:space="0"/>
              <w:bottom w:val="single" w:color="000000" w:sz="6" w:space="0"/>
              <w:right w:val="single" w:color="000000" w:sz="6" w:space="0"/>
            </w:tcBorders>
            <w:vAlign w:val="center"/>
          </w:tcPr>
          <w:p w14:paraId="6DE26BE3">
            <w:pPr>
              <w:spacing w:after="0" w:line="240" w:lineRule="auto"/>
              <w:jc w:val="center"/>
              <w:rPr>
                <w:rFonts w:hint="eastAsia" w:ascii="宋体" w:hAnsi="宋体" w:eastAsia="宋体" w:cs="宋体"/>
              </w:rPr>
            </w:pPr>
            <w:r>
              <w:rPr>
                <w:rFonts w:hint="eastAsia" w:ascii="宋体" w:hAnsi="宋体" w:eastAsia="宋体" w:cs="宋体"/>
                <w:b/>
              </w:rPr>
              <w:t>课程性质</w:t>
            </w:r>
          </w:p>
        </w:tc>
        <w:tc>
          <w:tcPr>
            <w:tcW w:w="1188" w:type="dxa"/>
            <w:tcBorders>
              <w:top w:val="single" w:color="000000" w:sz="6" w:space="0"/>
              <w:left w:val="single" w:color="000000" w:sz="6" w:space="0"/>
              <w:bottom w:val="single" w:color="000000" w:sz="6" w:space="0"/>
              <w:right w:val="single" w:color="000000" w:sz="6" w:space="0"/>
            </w:tcBorders>
            <w:vAlign w:val="center"/>
          </w:tcPr>
          <w:p w14:paraId="2251E34C">
            <w:pPr>
              <w:spacing w:after="0" w:line="240" w:lineRule="auto"/>
              <w:jc w:val="center"/>
              <w:rPr>
                <w:rFonts w:hint="eastAsia" w:ascii="宋体" w:hAnsi="宋体" w:eastAsia="宋体" w:cs="宋体"/>
              </w:rPr>
            </w:pPr>
            <w:r>
              <w:rPr>
                <w:rFonts w:hint="eastAsia" w:ascii="宋体" w:hAnsi="宋体" w:eastAsia="宋体" w:cs="宋体"/>
                <w:b/>
              </w:rPr>
              <w:t>授课教师</w:t>
            </w:r>
          </w:p>
        </w:tc>
      </w:tr>
      <w:tr w14:paraId="764E425E">
        <w:tblPrEx>
          <w:tblCellMar>
            <w:top w:w="40" w:type="dxa"/>
            <w:left w:w="60" w:type="dxa"/>
            <w:bottom w:w="40" w:type="dxa"/>
            <w:right w:w="60" w:type="dxa"/>
          </w:tblCellMar>
        </w:tblPrEx>
        <w:trPr>
          <w:trHeight w:val="510" w:hRule="atLeast"/>
          <w:jc w:val="center"/>
        </w:trPr>
        <w:tc>
          <w:tcPr>
            <w:tcW w:w="577" w:type="dxa"/>
            <w:tcBorders>
              <w:top w:val="single" w:color="000000" w:sz="6" w:space="0"/>
              <w:left w:val="single" w:color="000000" w:sz="6" w:space="0"/>
              <w:bottom w:val="single" w:color="000000" w:sz="6" w:space="0"/>
              <w:right w:val="single" w:color="000000" w:sz="6" w:space="0"/>
            </w:tcBorders>
            <w:vAlign w:val="center"/>
          </w:tcPr>
          <w:p w14:paraId="4CDFD3D9">
            <w:pPr>
              <w:spacing w:after="0" w:line="240" w:lineRule="auto"/>
              <w:jc w:val="center"/>
              <w:rPr>
                <w:rFonts w:hint="eastAsia" w:ascii="宋体" w:hAnsi="宋体" w:eastAsia="宋体" w:cs="宋体"/>
              </w:rPr>
            </w:pPr>
            <w:r>
              <w:rPr>
                <w:rFonts w:hint="eastAsia" w:ascii="宋体" w:hAnsi="宋体" w:eastAsia="宋体" w:cs="宋体"/>
              </w:rPr>
              <w:t>1</w:t>
            </w:r>
          </w:p>
        </w:tc>
        <w:tc>
          <w:tcPr>
            <w:tcW w:w="3063" w:type="dxa"/>
            <w:tcBorders>
              <w:top w:val="single" w:color="000000" w:sz="6" w:space="0"/>
              <w:left w:val="single" w:color="000000" w:sz="6" w:space="0"/>
              <w:bottom w:val="single" w:color="000000" w:sz="6" w:space="0"/>
              <w:right w:val="single" w:color="000000" w:sz="6" w:space="0"/>
            </w:tcBorders>
            <w:vAlign w:val="center"/>
          </w:tcPr>
          <w:p w14:paraId="41CF1B40">
            <w:pPr>
              <w:spacing w:after="0" w:line="240" w:lineRule="auto"/>
              <w:jc w:val="center"/>
              <w:rPr>
                <w:rFonts w:hint="eastAsia" w:ascii="宋体" w:hAnsi="宋体" w:eastAsia="宋体" w:cs="宋体"/>
              </w:rPr>
            </w:pPr>
            <w:r>
              <w:rPr>
                <w:rFonts w:hint="eastAsia" w:ascii="宋体" w:hAnsi="宋体" w:eastAsia="宋体" w:cs="宋体"/>
              </w:rPr>
              <w:t>数智时代语文教师素养概论</w:t>
            </w:r>
          </w:p>
        </w:tc>
        <w:tc>
          <w:tcPr>
            <w:tcW w:w="641" w:type="dxa"/>
            <w:tcBorders>
              <w:top w:val="single" w:color="000000" w:sz="6" w:space="0"/>
              <w:left w:val="single" w:color="000000" w:sz="6" w:space="0"/>
              <w:bottom w:val="single" w:color="000000" w:sz="6" w:space="0"/>
              <w:right w:val="single" w:color="000000" w:sz="6" w:space="0"/>
            </w:tcBorders>
            <w:vAlign w:val="center"/>
          </w:tcPr>
          <w:p w14:paraId="415543E9">
            <w:pPr>
              <w:spacing w:after="0" w:line="240" w:lineRule="auto"/>
              <w:jc w:val="center"/>
              <w:rPr>
                <w:rFonts w:hint="eastAsia" w:ascii="宋体" w:hAnsi="宋体" w:eastAsia="宋体" w:cs="宋体"/>
              </w:rPr>
            </w:pPr>
            <w:r>
              <w:rPr>
                <w:rFonts w:hint="eastAsia" w:ascii="宋体" w:hAnsi="宋体" w:eastAsia="宋体" w:cs="宋体"/>
              </w:rPr>
              <w:t>1</w:t>
            </w:r>
          </w:p>
        </w:tc>
        <w:tc>
          <w:tcPr>
            <w:tcW w:w="600" w:type="dxa"/>
            <w:tcBorders>
              <w:top w:val="single" w:color="000000" w:sz="6" w:space="0"/>
              <w:left w:val="single" w:color="000000" w:sz="6" w:space="0"/>
              <w:bottom w:val="single" w:color="000000" w:sz="6" w:space="0"/>
              <w:right w:val="single" w:color="000000" w:sz="6" w:space="0"/>
            </w:tcBorders>
            <w:vAlign w:val="center"/>
          </w:tcPr>
          <w:p w14:paraId="7F1B1D6E">
            <w:pPr>
              <w:spacing w:after="0" w:line="240" w:lineRule="auto"/>
              <w:jc w:val="center"/>
              <w:rPr>
                <w:rFonts w:hint="eastAsia" w:ascii="宋体" w:hAnsi="宋体" w:eastAsia="宋体" w:cs="宋体"/>
              </w:rPr>
            </w:pPr>
            <w:r>
              <w:rPr>
                <w:rFonts w:hint="eastAsia" w:ascii="宋体" w:hAnsi="宋体" w:eastAsia="宋体" w:cs="宋体"/>
              </w:rPr>
              <w:t>16</w:t>
            </w:r>
          </w:p>
        </w:tc>
        <w:tc>
          <w:tcPr>
            <w:tcW w:w="1148" w:type="dxa"/>
            <w:tcBorders>
              <w:top w:val="single" w:color="000000" w:sz="6" w:space="0"/>
              <w:left w:val="single" w:color="000000" w:sz="6" w:space="0"/>
              <w:bottom w:val="single" w:color="000000" w:sz="6" w:space="0"/>
              <w:right w:val="single" w:color="000000" w:sz="6" w:space="0"/>
            </w:tcBorders>
            <w:vAlign w:val="center"/>
          </w:tcPr>
          <w:p w14:paraId="4E44F25B">
            <w:pPr>
              <w:spacing w:after="0" w:line="240" w:lineRule="auto"/>
              <w:jc w:val="center"/>
              <w:rPr>
                <w:rFonts w:hint="eastAsia" w:ascii="宋体" w:hAnsi="宋体" w:eastAsia="宋体" w:cs="宋体"/>
              </w:rPr>
            </w:pPr>
            <w:r>
              <w:rPr>
                <w:rFonts w:hint="eastAsia" w:ascii="宋体" w:hAnsi="宋体" w:eastAsia="宋体" w:cs="宋体"/>
              </w:rPr>
              <w:t>秋季</w:t>
            </w:r>
          </w:p>
        </w:tc>
        <w:tc>
          <w:tcPr>
            <w:tcW w:w="1095" w:type="dxa"/>
            <w:tcBorders>
              <w:top w:val="single" w:color="000000" w:sz="6" w:space="0"/>
              <w:left w:val="single" w:color="000000" w:sz="6" w:space="0"/>
              <w:bottom w:val="single" w:color="000000" w:sz="6" w:space="0"/>
              <w:right w:val="single" w:color="000000" w:sz="6" w:space="0"/>
            </w:tcBorders>
            <w:vAlign w:val="center"/>
          </w:tcPr>
          <w:p w14:paraId="46126E64">
            <w:pPr>
              <w:spacing w:after="0" w:line="240" w:lineRule="auto"/>
              <w:jc w:val="center"/>
              <w:rPr>
                <w:rFonts w:hint="eastAsia" w:ascii="宋体" w:hAnsi="宋体" w:eastAsia="宋体" w:cs="宋体"/>
              </w:rPr>
            </w:pPr>
            <w:r>
              <w:rPr>
                <w:rFonts w:hint="eastAsia" w:ascii="宋体" w:hAnsi="宋体" w:eastAsia="宋体" w:cs="宋体"/>
              </w:rPr>
              <w:t>必修</w:t>
            </w:r>
          </w:p>
        </w:tc>
        <w:tc>
          <w:tcPr>
            <w:tcW w:w="1188" w:type="dxa"/>
            <w:tcBorders>
              <w:top w:val="single" w:color="000000" w:sz="6" w:space="0"/>
              <w:left w:val="single" w:color="000000" w:sz="6" w:space="0"/>
              <w:bottom w:val="single" w:color="000000" w:sz="6" w:space="0"/>
              <w:right w:val="single" w:color="000000" w:sz="6" w:space="0"/>
            </w:tcBorders>
            <w:vAlign w:val="center"/>
          </w:tcPr>
          <w:p w14:paraId="4C21CA4B">
            <w:pPr>
              <w:spacing w:after="0" w:line="240" w:lineRule="auto"/>
              <w:jc w:val="center"/>
              <w:rPr>
                <w:rFonts w:hint="eastAsia" w:ascii="宋体" w:hAnsi="宋体" w:eastAsia="宋体" w:cs="宋体"/>
              </w:rPr>
            </w:pPr>
            <w:r>
              <w:rPr>
                <w:rFonts w:hint="eastAsia" w:ascii="宋体" w:hAnsi="宋体" w:eastAsia="宋体" w:cs="宋体"/>
              </w:rPr>
              <w:t>尹逊才</w:t>
            </w:r>
          </w:p>
          <w:p w14:paraId="475A8287">
            <w:pPr>
              <w:spacing w:after="0" w:line="240" w:lineRule="auto"/>
              <w:jc w:val="center"/>
              <w:rPr>
                <w:rFonts w:hint="eastAsia" w:ascii="宋体" w:hAnsi="宋体" w:eastAsia="宋体" w:cs="宋体"/>
              </w:rPr>
            </w:pPr>
            <w:r>
              <w:rPr>
                <w:rFonts w:hint="eastAsia" w:ascii="宋体" w:hAnsi="宋体" w:eastAsia="宋体" w:cs="宋体"/>
              </w:rPr>
              <w:t>周杰</w:t>
            </w:r>
          </w:p>
        </w:tc>
      </w:tr>
      <w:tr w14:paraId="3714528F">
        <w:tblPrEx>
          <w:tblCellMar>
            <w:top w:w="40" w:type="dxa"/>
            <w:left w:w="60" w:type="dxa"/>
            <w:bottom w:w="40" w:type="dxa"/>
            <w:right w:w="60" w:type="dxa"/>
          </w:tblCellMar>
        </w:tblPrEx>
        <w:trPr>
          <w:trHeight w:val="510" w:hRule="atLeast"/>
          <w:jc w:val="center"/>
        </w:trPr>
        <w:tc>
          <w:tcPr>
            <w:tcW w:w="577" w:type="dxa"/>
            <w:tcBorders>
              <w:top w:val="single" w:color="000000" w:sz="6" w:space="0"/>
              <w:left w:val="single" w:color="000000" w:sz="6" w:space="0"/>
              <w:bottom w:val="single" w:color="000000" w:sz="6" w:space="0"/>
              <w:right w:val="single" w:color="000000" w:sz="6" w:space="0"/>
            </w:tcBorders>
            <w:vAlign w:val="center"/>
          </w:tcPr>
          <w:p w14:paraId="3354FB5F">
            <w:pPr>
              <w:spacing w:after="0" w:line="240" w:lineRule="auto"/>
              <w:jc w:val="center"/>
              <w:rPr>
                <w:rFonts w:hint="eastAsia" w:ascii="宋体" w:hAnsi="宋体" w:eastAsia="宋体" w:cs="宋体"/>
              </w:rPr>
            </w:pPr>
            <w:r>
              <w:rPr>
                <w:rFonts w:hint="eastAsia" w:ascii="宋体" w:hAnsi="宋体" w:eastAsia="宋体" w:cs="宋体"/>
              </w:rPr>
              <w:t>2</w:t>
            </w:r>
          </w:p>
        </w:tc>
        <w:tc>
          <w:tcPr>
            <w:tcW w:w="3063" w:type="dxa"/>
            <w:tcBorders>
              <w:top w:val="single" w:color="000000" w:sz="6" w:space="0"/>
              <w:left w:val="single" w:color="000000" w:sz="6" w:space="0"/>
              <w:bottom w:val="single" w:color="000000" w:sz="6" w:space="0"/>
              <w:right w:val="single" w:color="000000" w:sz="6" w:space="0"/>
            </w:tcBorders>
            <w:vAlign w:val="center"/>
          </w:tcPr>
          <w:p w14:paraId="5E3C42A7">
            <w:pPr>
              <w:spacing w:after="0" w:line="240" w:lineRule="auto"/>
              <w:jc w:val="center"/>
              <w:rPr>
                <w:rFonts w:hint="eastAsia" w:ascii="宋体" w:hAnsi="宋体" w:eastAsia="宋体" w:cs="宋体"/>
              </w:rPr>
            </w:pPr>
            <w:r>
              <w:rPr>
                <w:rFonts w:hint="eastAsia" w:ascii="宋体" w:hAnsi="宋体" w:eastAsia="宋体" w:cs="宋体"/>
              </w:rPr>
              <w:t>数智赋能语文教材名篇解读</w:t>
            </w:r>
          </w:p>
        </w:tc>
        <w:tc>
          <w:tcPr>
            <w:tcW w:w="641" w:type="dxa"/>
            <w:tcBorders>
              <w:top w:val="single" w:color="000000" w:sz="6" w:space="0"/>
              <w:left w:val="single" w:color="000000" w:sz="6" w:space="0"/>
              <w:bottom w:val="single" w:color="000000" w:sz="6" w:space="0"/>
              <w:right w:val="single" w:color="000000" w:sz="6" w:space="0"/>
            </w:tcBorders>
            <w:vAlign w:val="center"/>
          </w:tcPr>
          <w:p w14:paraId="48D5E406">
            <w:pPr>
              <w:spacing w:after="0" w:line="240" w:lineRule="auto"/>
              <w:jc w:val="center"/>
              <w:rPr>
                <w:rFonts w:hint="eastAsia" w:ascii="宋体" w:hAnsi="宋体" w:eastAsia="宋体" w:cs="宋体"/>
              </w:rPr>
            </w:pPr>
            <w:r>
              <w:rPr>
                <w:rFonts w:hint="eastAsia" w:ascii="宋体" w:hAnsi="宋体" w:eastAsia="宋体" w:cs="宋体"/>
              </w:rPr>
              <w:t>2</w:t>
            </w:r>
          </w:p>
        </w:tc>
        <w:tc>
          <w:tcPr>
            <w:tcW w:w="600" w:type="dxa"/>
            <w:tcBorders>
              <w:top w:val="single" w:color="000000" w:sz="6" w:space="0"/>
              <w:left w:val="single" w:color="000000" w:sz="6" w:space="0"/>
              <w:bottom w:val="single" w:color="000000" w:sz="6" w:space="0"/>
              <w:right w:val="single" w:color="000000" w:sz="6" w:space="0"/>
            </w:tcBorders>
            <w:vAlign w:val="center"/>
          </w:tcPr>
          <w:p w14:paraId="50998E79">
            <w:pPr>
              <w:spacing w:after="0" w:line="240" w:lineRule="auto"/>
              <w:jc w:val="center"/>
              <w:rPr>
                <w:rFonts w:hint="eastAsia" w:ascii="宋体" w:hAnsi="宋体" w:eastAsia="宋体" w:cs="宋体"/>
              </w:rPr>
            </w:pPr>
            <w:r>
              <w:rPr>
                <w:rFonts w:hint="eastAsia" w:ascii="宋体" w:hAnsi="宋体" w:eastAsia="宋体" w:cs="宋体"/>
              </w:rPr>
              <w:t>32</w:t>
            </w:r>
          </w:p>
        </w:tc>
        <w:tc>
          <w:tcPr>
            <w:tcW w:w="1148" w:type="dxa"/>
            <w:tcBorders>
              <w:top w:val="single" w:color="000000" w:sz="6" w:space="0"/>
              <w:left w:val="single" w:color="000000" w:sz="6" w:space="0"/>
              <w:bottom w:val="single" w:color="000000" w:sz="6" w:space="0"/>
              <w:right w:val="single" w:color="000000" w:sz="6" w:space="0"/>
            </w:tcBorders>
            <w:vAlign w:val="center"/>
          </w:tcPr>
          <w:p w14:paraId="2DFB9F0F">
            <w:pPr>
              <w:spacing w:after="0" w:line="240" w:lineRule="auto"/>
              <w:jc w:val="center"/>
              <w:rPr>
                <w:rFonts w:hint="eastAsia" w:ascii="宋体" w:hAnsi="宋体" w:eastAsia="宋体" w:cs="宋体"/>
              </w:rPr>
            </w:pPr>
            <w:r>
              <w:rPr>
                <w:rFonts w:hint="eastAsia" w:ascii="宋体" w:hAnsi="宋体" w:eastAsia="宋体" w:cs="宋体"/>
              </w:rPr>
              <w:t>秋季</w:t>
            </w:r>
          </w:p>
        </w:tc>
        <w:tc>
          <w:tcPr>
            <w:tcW w:w="1095" w:type="dxa"/>
            <w:tcBorders>
              <w:top w:val="single" w:color="000000" w:sz="6" w:space="0"/>
              <w:left w:val="single" w:color="000000" w:sz="6" w:space="0"/>
              <w:bottom w:val="single" w:color="000000" w:sz="6" w:space="0"/>
              <w:right w:val="single" w:color="000000" w:sz="6" w:space="0"/>
            </w:tcBorders>
            <w:vAlign w:val="center"/>
          </w:tcPr>
          <w:p w14:paraId="2911D9E4">
            <w:pPr>
              <w:spacing w:after="0" w:line="240" w:lineRule="auto"/>
              <w:jc w:val="center"/>
              <w:rPr>
                <w:rFonts w:hint="eastAsia" w:ascii="宋体" w:hAnsi="宋体" w:eastAsia="宋体" w:cs="宋体"/>
              </w:rPr>
            </w:pPr>
            <w:r>
              <w:rPr>
                <w:rFonts w:hint="eastAsia" w:ascii="宋体" w:hAnsi="宋体" w:eastAsia="宋体" w:cs="宋体"/>
              </w:rPr>
              <w:t>必修</w:t>
            </w:r>
          </w:p>
        </w:tc>
        <w:tc>
          <w:tcPr>
            <w:tcW w:w="1188" w:type="dxa"/>
            <w:tcBorders>
              <w:top w:val="single" w:color="000000" w:sz="6" w:space="0"/>
              <w:left w:val="single" w:color="000000" w:sz="6" w:space="0"/>
              <w:bottom w:val="single" w:color="000000" w:sz="6" w:space="0"/>
              <w:right w:val="single" w:color="000000" w:sz="6" w:space="0"/>
            </w:tcBorders>
            <w:vAlign w:val="center"/>
          </w:tcPr>
          <w:p w14:paraId="2CE0D8B2">
            <w:pPr>
              <w:spacing w:after="0" w:line="240" w:lineRule="auto"/>
              <w:jc w:val="center"/>
              <w:rPr>
                <w:rFonts w:hint="eastAsia" w:ascii="宋体" w:hAnsi="宋体" w:eastAsia="宋体" w:cs="宋体"/>
              </w:rPr>
            </w:pPr>
            <w:r>
              <w:rPr>
                <w:rFonts w:hint="eastAsia" w:ascii="宋体" w:hAnsi="宋体" w:eastAsia="宋体" w:cs="宋体"/>
              </w:rPr>
              <w:t>孙文起</w:t>
            </w:r>
          </w:p>
          <w:p w14:paraId="48E5E879">
            <w:pPr>
              <w:spacing w:after="0" w:line="240" w:lineRule="auto"/>
              <w:jc w:val="center"/>
              <w:rPr>
                <w:rFonts w:hint="eastAsia" w:ascii="宋体" w:hAnsi="宋体" w:eastAsia="宋体" w:cs="宋体"/>
              </w:rPr>
            </w:pPr>
            <w:r>
              <w:rPr>
                <w:rFonts w:hint="eastAsia" w:ascii="宋体" w:hAnsi="宋体" w:eastAsia="宋体" w:cs="宋体"/>
              </w:rPr>
              <w:t>梁建蕊</w:t>
            </w:r>
          </w:p>
        </w:tc>
      </w:tr>
      <w:tr w14:paraId="2A98EBAA">
        <w:tblPrEx>
          <w:tblCellMar>
            <w:top w:w="40" w:type="dxa"/>
            <w:left w:w="60" w:type="dxa"/>
            <w:bottom w:w="40" w:type="dxa"/>
            <w:right w:w="60" w:type="dxa"/>
          </w:tblCellMar>
        </w:tblPrEx>
        <w:trPr>
          <w:trHeight w:val="510" w:hRule="atLeast"/>
          <w:jc w:val="center"/>
        </w:trPr>
        <w:tc>
          <w:tcPr>
            <w:tcW w:w="577" w:type="dxa"/>
            <w:tcBorders>
              <w:top w:val="single" w:color="000000" w:sz="6" w:space="0"/>
              <w:left w:val="single" w:color="000000" w:sz="6" w:space="0"/>
              <w:bottom w:val="single" w:color="000000" w:sz="6" w:space="0"/>
              <w:right w:val="single" w:color="000000" w:sz="6" w:space="0"/>
            </w:tcBorders>
            <w:vAlign w:val="center"/>
          </w:tcPr>
          <w:p w14:paraId="21B0014E">
            <w:pPr>
              <w:spacing w:after="0" w:line="240" w:lineRule="auto"/>
              <w:jc w:val="center"/>
              <w:rPr>
                <w:rFonts w:hint="eastAsia" w:ascii="宋体" w:hAnsi="宋体" w:eastAsia="宋体" w:cs="宋体"/>
              </w:rPr>
            </w:pPr>
            <w:r>
              <w:rPr>
                <w:rFonts w:hint="eastAsia" w:ascii="宋体" w:hAnsi="宋体" w:eastAsia="宋体" w:cs="宋体"/>
              </w:rPr>
              <w:t>3</w:t>
            </w:r>
          </w:p>
        </w:tc>
        <w:tc>
          <w:tcPr>
            <w:tcW w:w="3063" w:type="dxa"/>
            <w:tcBorders>
              <w:top w:val="single" w:color="000000" w:sz="6" w:space="0"/>
              <w:left w:val="single" w:color="000000" w:sz="6" w:space="0"/>
              <w:bottom w:val="single" w:color="000000" w:sz="6" w:space="0"/>
              <w:right w:val="single" w:color="000000" w:sz="6" w:space="0"/>
            </w:tcBorders>
            <w:vAlign w:val="center"/>
          </w:tcPr>
          <w:p w14:paraId="782EE081">
            <w:pPr>
              <w:spacing w:after="0" w:line="240" w:lineRule="auto"/>
              <w:jc w:val="center"/>
              <w:rPr>
                <w:rFonts w:hint="eastAsia" w:ascii="宋体" w:hAnsi="宋体" w:eastAsia="宋体" w:cs="宋体"/>
              </w:rPr>
            </w:pPr>
            <w:r>
              <w:rPr>
                <w:rFonts w:hint="eastAsia" w:ascii="宋体" w:hAnsi="宋体" w:eastAsia="宋体" w:cs="宋体"/>
              </w:rPr>
              <w:t>语文学科知识与教学能力研修</w:t>
            </w:r>
          </w:p>
        </w:tc>
        <w:tc>
          <w:tcPr>
            <w:tcW w:w="641" w:type="dxa"/>
            <w:tcBorders>
              <w:top w:val="single" w:color="000000" w:sz="6" w:space="0"/>
              <w:left w:val="single" w:color="000000" w:sz="6" w:space="0"/>
              <w:bottom w:val="single" w:color="000000" w:sz="6" w:space="0"/>
              <w:right w:val="single" w:color="000000" w:sz="6" w:space="0"/>
            </w:tcBorders>
            <w:vAlign w:val="center"/>
          </w:tcPr>
          <w:p w14:paraId="3967A688">
            <w:pPr>
              <w:spacing w:after="0" w:line="240" w:lineRule="auto"/>
              <w:jc w:val="center"/>
              <w:rPr>
                <w:rFonts w:hint="eastAsia" w:ascii="宋体" w:hAnsi="宋体" w:eastAsia="宋体" w:cs="宋体"/>
              </w:rPr>
            </w:pPr>
            <w:r>
              <w:rPr>
                <w:rFonts w:hint="eastAsia" w:ascii="宋体" w:hAnsi="宋体" w:eastAsia="宋体" w:cs="宋体"/>
              </w:rPr>
              <w:t>2</w:t>
            </w:r>
          </w:p>
        </w:tc>
        <w:tc>
          <w:tcPr>
            <w:tcW w:w="600" w:type="dxa"/>
            <w:tcBorders>
              <w:top w:val="single" w:color="000000" w:sz="6" w:space="0"/>
              <w:left w:val="single" w:color="000000" w:sz="6" w:space="0"/>
              <w:bottom w:val="single" w:color="000000" w:sz="6" w:space="0"/>
              <w:right w:val="single" w:color="000000" w:sz="6" w:space="0"/>
            </w:tcBorders>
            <w:vAlign w:val="center"/>
          </w:tcPr>
          <w:p w14:paraId="586C7803">
            <w:pPr>
              <w:spacing w:after="0" w:line="240" w:lineRule="auto"/>
              <w:jc w:val="center"/>
              <w:rPr>
                <w:rFonts w:hint="eastAsia" w:ascii="宋体" w:hAnsi="宋体" w:eastAsia="宋体" w:cs="宋体"/>
              </w:rPr>
            </w:pPr>
            <w:r>
              <w:rPr>
                <w:rFonts w:hint="eastAsia" w:ascii="宋体" w:hAnsi="宋体" w:eastAsia="宋体" w:cs="宋体"/>
              </w:rPr>
              <w:t>32</w:t>
            </w:r>
          </w:p>
        </w:tc>
        <w:tc>
          <w:tcPr>
            <w:tcW w:w="1148" w:type="dxa"/>
            <w:tcBorders>
              <w:top w:val="single" w:color="000000" w:sz="6" w:space="0"/>
              <w:left w:val="single" w:color="000000" w:sz="6" w:space="0"/>
              <w:bottom w:val="single" w:color="000000" w:sz="6" w:space="0"/>
              <w:right w:val="single" w:color="000000" w:sz="6" w:space="0"/>
            </w:tcBorders>
            <w:vAlign w:val="center"/>
          </w:tcPr>
          <w:p w14:paraId="5444E54D">
            <w:pPr>
              <w:spacing w:after="0" w:line="240" w:lineRule="auto"/>
              <w:jc w:val="center"/>
              <w:rPr>
                <w:rFonts w:hint="eastAsia" w:ascii="宋体" w:hAnsi="宋体" w:eastAsia="宋体" w:cs="宋体"/>
              </w:rPr>
            </w:pPr>
            <w:r>
              <w:rPr>
                <w:rFonts w:hint="eastAsia" w:ascii="宋体" w:hAnsi="宋体" w:eastAsia="宋体" w:cs="宋体"/>
              </w:rPr>
              <w:t>秋季</w:t>
            </w:r>
          </w:p>
        </w:tc>
        <w:tc>
          <w:tcPr>
            <w:tcW w:w="1095" w:type="dxa"/>
            <w:tcBorders>
              <w:top w:val="single" w:color="000000" w:sz="6" w:space="0"/>
              <w:left w:val="single" w:color="000000" w:sz="6" w:space="0"/>
              <w:bottom w:val="single" w:color="000000" w:sz="6" w:space="0"/>
              <w:right w:val="single" w:color="000000" w:sz="6" w:space="0"/>
            </w:tcBorders>
            <w:vAlign w:val="center"/>
          </w:tcPr>
          <w:p w14:paraId="721DAF7C">
            <w:pPr>
              <w:spacing w:after="0" w:line="240" w:lineRule="auto"/>
              <w:jc w:val="center"/>
              <w:rPr>
                <w:rFonts w:hint="eastAsia" w:ascii="宋体" w:hAnsi="宋体" w:eastAsia="宋体" w:cs="宋体"/>
              </w:rPr>
            </w:pPr>
            <w:r>
              <w:rPr>
                <w:rFonts w:hint="eastAsia" w:ascii="宋体" w:hAnsi="宋体" w:eastAsia="宋体" w:cs="宋体"/>
              </w:rPr>
              <w:t>必修</w:t>
            </w:r>
          </w:p>
        </w:tc>
        <w:tc>
          <w:tcPr>
            <w:tcW w:w="1188" w:type="dxa"/>
            <w:tcBorders>
              <w:top w:val="single" w:color="000000" w:sz="6" w:space="0"/>
              <w:left w:val="single" w:color="000000" w:sz="6" w:space="0"/>
              <w:bottom w:val="single" w:color="000000" w:sz="6" w:space="0"/>
              <w:right w:val="single" w:color="000000" w:sz="6" w:space="0"/>
            </w:tcBorders>
            <w:vAlign w:val="center"/>
          </w:tcPr>
          <w:p w14:paraId="77E21331">
            <w:pPr>
              <w:spacing w:after="0" w:line="240" w:lineRule="auto"/>
              <w:jc w:val="center"/>
              <w:rPr>
                <w:rFonts w:hint="eastAsia" w:ascii="宋体" w:hAnsi="宋体" w:eastAsia="宋体" w:cs="宋体"/>
              </w:rPr>
            </w:pPr>
            <w:r>
              <w:rPr>
                <w:rFonts w:hint="eastAsia" w:ascii="宋体" w:hAnsi="宋体" w:eastAsia="宋体" w:cs="宋体"/>
              </w:rPr>
              <w:t>步进</w:t>
            </w:r>
          </w:p>
          <w:p w14:paraId="3707356A">
            <w:pPr>
              <w:spacing w:after="0" w:line="240" w:lineRule="auto"/>
              <w:jc w:val="center"/>
              <w:rPr>
                <w:rFonts w:hint="eastAsia" w:ascii="宋体" w:hAnsi="宋体" w:eastAsia="宋体" w:cs="宋体"/>
              </w:rPr>
            </w:pPr>
            <w:r>
              <w:rPr>
                <w:rFonts w:hint="eastAsia" w:ascii="宋体" w:hAnsi="宋体" w:eastAsia="宋体" w:cs="宋体"/>
              </w:rPr>
              <w:t>王林喜</w:t>
            </w:r>
          </w:p>
        </w:tc>
      </w:tr>
      <w:tr w14:paraId="742F8569">
        <w:tblPrEx>
          <w:tblCellMar>
            <w:top w:w="40" w:type="dxa"/>
            <w:left w:w="60" w:type="dxa"/>
            <w:bottom w:w="40" w:type="dxa"/>
            <w:right w:w="60" w:type="dxa"/>
          </w:tblCellMar>
        </w:tblPrEx>
        <w:trPr>
          <w:trHeight w:val="510" w:hRule="atLeast"/>
          <w:jc w:val="center"/>
        </w:trPr>
        <w:tc>
          <w:tcPr>
            <w:tcW w:w="577" w:type="dxa"/>
            <w:tcBorders>
              <w:top w:val="single" w:color="000000" w:sz="6" w:space="0"/>
              <w:left w:val="single" w:color="000000" w:sz="6" w:space="0"/>
              <w:bottom w:val="single" w:color="000000" w:sz="6" w:space="0"/>
              <w:right w:val="single" w:color="000000" w:sz="6" w:space="0"/>
            </w:tcBorders>
            <w:vAlign w:val="center"/>
          </w:tcPr>
          <w:p w14:paraId="4795AF86">
            <w:pPr>
              <w:spacing w:after="0" w:line="240" w:lineRule="auto"/>
              <w:jc w:val="center"/>
              <w:rPr>
                <w:rFonts w:hint="eastAsia" w:ascii="宋体" w:hAnsi="宋体" w:eastAsia="宋体" w:cs="宋体"/>
              </w:rPr>
            </w:pPr>
            <w:r>
              <w:rPr>
                <w:rFonts w:hint="eastAsia" w:ascii="宋体" w:hAnsi="宋体" w:eastAsia="宋体" w:cs="宋体"/>
              </w:rPr>
              <w:t>4</w:t>
            </w:r>
          </w:p>
        </w:tc>
        <w:tc>
          <w:tcPr>
            <w:tcW w:w="3063" w:type="dxa"/>
            <w:tcBorders>
              <w:top w:val="single" w:color="000000" w:sz="6" w:space="0"/>
              <w:left w:val="single" w:color="000000" w:sz="6" w:space="0"/>
              <w:bottom w:val="single" w:color="000000" w:sz="6" w:space="0"/>
              <w:right w:val="single" w:color="000000" w:sz="6" w:space="0"/>
            </w:tcBorders>
            <w:vAlign w:val="center"/>
          </w:tcPr>
          <w:p w14:paraId="547B8E8E">
            <w:pPr>
              <w:spacing w:after="0" w:line="240" w:lineRule="auto"/>
              <w:jc w:val="center"/>
              <w:rPr>
                <w:rFonts w:hint="eastAsia" w:ascii="宋体" w:hAnsi="宋体" w:eastAsia="宋体" w:cs="宋体"/>
              </w:rPr>
            </w:pPr>
            <w:r>
              <w:rPr>
                <w:rFonts w:hint="eastAsia" w:ascii="宋体" w:hAnsi="宋体" w:eastAsia="宋体" w:cs="宋体"/>
              </w:rPr>
              <w:t>数智赋能语文课堂实战工作坊</w:t>
            </w:r>
          </w:p>
        </w:tc>
        <w:tc>
          <w:tcPr>
            <w:tcW w:w="641" w:type="dxa"/>
            <w:tcBorders>
              <w:top w:val="single" w:color="000000" w:sz="6" w:space="0"/>
              <w:left w:val="single" w:color="000000" w:sz="6" w:space="0"/>
              <w:bottom w:val="single" w:color="000000" w:sz="6" w:space="0"/>
              <w:right w:val="single" w:color="000000" w:sz="6" w:space="0"/>
            </w:tcBorders>
            <w:vAlign w:val="center"/>
          </w:tcPr>
          <w:p w14:paraId="2318C67D">
            <w:pPr>
              <w:spacing w:after="0" w:line="240" w:lineRule="auto"/>
              <w:jc w:val="center"/>
              <w:rPr>
                <w:rFonts w:hint="eastAsia" w:ascii="宋体" w:hAnsi="宋体" w:eastAsia="宋体" w:cs="宋体"/>
              </w:rPr>
            </w:pPr>
            <w:r>
              <w:rPr>
                <w:rFonts w:hint="eastAsia" w:ascii="宋体" w:hAnsi="宋体" w:eastAsia="宋体" w:cs="宋体"/>
              </w:rPr>
              <w:t>3</w:t>
            </w:r>
          </w:p>
        </w:tc>
        <w:tc>
          <w:tcPr>
            <w:tcW w:w="600" w:type="dxa"/>
            <w:tcBorders>
              <w:top w:val="single" w:color="000000" w:sz="6" w:space="0"/>
              <w:left w:val="single" w:color="000000" w:sz="6" w:space="0"/>
              <w:bottom w:val="single" w:color="000000" w:sz="6" w:space="0"/>
              <w:right w:val="single" w:color="000000" w:sz="6" w:space="0"/>
            </w:tcBorders>
            <w:vAlign w:val="center"/>
          </w:tcPr>
          <w:p w14:paraId="08836847">
            <w:pPr>
              <w:spacing w:after="0" w:line="240" w:lineRule="auto"/>
              <w:jc w:val="center"/>
              <w:rPr>
                <w:rFonts w:hint="eastAsia" w:ascii="宋体" w:hAnsi="宋体" w:eastAsia="宋体" w:cs="宋体"/>
              </w:rPr>
            </w:pPr>
            <w:r>
              <w:rPr>
                <w:rFonts w:hint="eastAsia" w:ascii="宋体" w:hAnsi="宋体" w:eastAsia="宋体" w:cs="宋体"/>
              </w:rPr>
              <w:t>48</w:t>
            </w:r>
          </w:p>
        </w:tc>
        <w:tc>
          <w:tcPr>
            <w:tcW w:w="1148" w:type="dxa"/>
            <w:tcBorders>
              <w:top w:val="single" w:color="000000" w:sz="6" w:space="0"/>
              <w:left w:val="single" w:color="000000" w:sz="6" w:space="0"/>
              <w:bottom w:val="single" w:color="000000" w:sz="6" w:space="0"/>
              <w:right w:val="single" w:color="000000" w:sz="6" w:space="0"/>
            </w:tcBorders>
            <w:vAlign w:val="center"/>
          </w:tcPr>
          <w:p w14:paraId="34442E7B">
            <w:pPr>
              <w:spacing w:after="0" w:line="240" w:lineRule="auto"/>
              <w:jc w:val="center"/>
              <w:rPr>
                <w:rFonts w:hint="eastAsia" w:ascii="宋体" w:hAnsi="宋体" w:eastAsia="宋体" w:cs="宋体"/>
              </w:rPr>
            </w:pPr>
            <w:r>
              <w:rPr>
                <w:rFonts w:hint="eastAsia" w:ascii="宋体" w:hAnsi="宋体" w:eastAsia="宋体" w:cs="宋体"/>
              </w:rPr>
              <w:t>秋季</w:t>
            </w:r>
          </w:p>
        </w:tc>
        <w:tc>
          <w:tcPr>
            <w:tcW w:w="1095" w:type="dxa"/>
            <w:tcBorders>
              <w:top w:val="single" w:color="000000" w:sz="6" w:space="0"/>
              <w:left w:val="single" w:color="000000" w:sz="6" w:space="0"/>
              <w:bottom w:val="single" w:color="000000" w:sz="6" w:space="0"/>
              <w:right w:val="single" w:color="000000" w:sz="6" w:space="0"/>
            </w:tcBorders>
            <w:vAlign w:val="center"/>
          </w:tcPr>
          <w:p w14:paraId="36B7F17C">
            <w:pPr>
              <w:spacing w:after="0" w:line="240" w:lineRule="auto"/>
              <w:jc w:val="center"/>
              <w:rPr>
                <w:rFonts w:hint="eastAsia" w:ascii="宋体" w:hAnsi="宋体" w:eastAsia="宋体" w:cs="宋体"/>
              </w:rPr>
            </w:pPr>
            <w:r>
              <w:rPr>
                <w:rFonts w:hint="eastAsia" w:ascii="宋体" w:hAnsi="宋体" w:eastAsia="宋体" w:cs="宋体"/>
              </w:rPr>
              <w:t>必修</w:t>
            </w:r>
          </w:p>
        </w:tc>
        <w:tc>
          <w:tcPr>
            <w:tcW w:w="1188" w:type="dxa"/>
            <w:tcBorders>
              <w:top w:val="single" w:color="000000" w:sz="6" w:space="0"/>
              <w:left w:val="single" w:color="000000" w:sz="6" w:space="0"/>
              <w:bottom w:val="single" w:color="000000" w:sz="6" w:space="0"/>
              <w:right w:val="single" w:color="000000" w:sz="6" w:space="0"/>
            </w:tcBorders>
            <w:vAlign w:val="center"/>
          </w:tcPr>
          <w:p w14:paraId="49B802DB">
            <w:pPr>
              <w:spacing w:after="0" w:line="240" w:lineRule="auto"/>
              <w:jc w:val="center"/>
              <w:rPr>
                <w:rFonts w:hint="eastAsia" w:ascii="宋体" w:hAnsi="宋体" w:eastAsia="宋体" w:cs="宋体"/>
              </w:rPr>
            </w:pPr>
            <w:r>
              <w:rPr>
                <w:rFonts w:hint="eastAsia" w:ascii="宋体" w:hAnsi="宋体" w:eastAsia="宋体" w:cs="宋体"/>
              </w:rPr>
              <w:t>胡杨</w:t>
            </w:r>
          </w:p>
          <w:p w14:paraId="3352591C">
            <w:pPr>
              <w:spacing w:after="0" w:line="240" w:lineRule="auto"/>
              <w:jc w:val="center"/>
              <w:rPr>
                <w:rFonts w:hint="eastAsia" w:ascii="宋体" w:hAnsi="宋体" w:eastAsia="宋体" w:cs="宋体"/>
              </w:rPr>
            </w:pPr>
            <w:r>
              <w:rPr>
                <w:rFonts w:hint="eastAsia" w:ascii="宋体" w:hAnsi="宋体" w:eastAsia="宋体" w:cs="宋体"/>
              </w:rPr>
              <w:t>王林喜</w:t>
            </w:r>
          </w:p>
          <w:p w14:paraId="793160EF">
            <w:pPr>
              <w:spacing w:after="0" w:line="240" w:lineRule="auto"/>
              <w:jc w:val="center"/>
              <w:rPr>
                <w:rFonts w:hint="eastAsia" w:ascii="宋体" w:hAnsi="宋体" w:eastAsia="宋体" w:cs="宋体"/>
              </w:rPr>
            </w:pPr>
            <w:r>
              <w:rPr>
                <w:rFonts w:hint="eastAsia" w:ascii="宋体" w:hAnsi="宋体" w:eastAsia="宋体" w:cs="宋体"/>
              </w:rPr>
              <w:t>查晓红</w:t>
            </w:r>
          </w:p>
          <w:p w14:paraId="7660A1E3">
            <w:pPr>
              <w:spacing w:after="0" w:line="240" w:lineRule="auto"/>
              <w:jc w:val="center"/>
              <w:rPr>
                <w:rFonts w:hint="eastAsia" w:ascii="宋体" w:hAnsi="宋体" w:eastAsia="宋体" w:cs="宋体"/>
              </w:rPr>
            </w:pPr>
            <w:r>
              <w:rPr>
                <w:rFonts w:hint="eastAsia" w:ascii="宋体" w:hAnsi="宋体" w:eastAsia="宋体" w:cs="宋体"/>
              </w:rPr>
              <w:t>步进</w:t>
            </w:r>
          </w:p>
        </w:tc>
      </w:tr>
    </w:tbl>
    <w:p w14:paraId="5E1E0866">
      <w:pPr>
        <w:spacing w:after="0" w:line="240" w:lineRule="auto"/>
        <w:jc w:val="both"/>
        <w:rPr>
          <w:rFonts w:hint="eastAsia" w:ascii="宋体" w:hAnsi="宋体" w:eastAsia="宋体" w:cs="宋体"/>
        </w:rPr>
      </w:pPr>
    </w:p>
    <w:p w14:paraId="4135299D">
      <w:pPr>
        <w:spacing w:after="0" w:line="240" w:lineRule="auto"/>
        <w:jc w:val="both"/>
        <w:rPr>
          <w:rFonts w:hint="eastAsia" w:ascii="宋体" w:hAnsi="宋体" w:eastAsia="宋体" w:cs="宋体"/>
        </w:rPr>
      </w:pPr>
      <w:r>
        <w:rPr>
          <w:rFonts w:hint="eastAsia" w:ascii="宋体" w:hAnsi="宋体" w:eastAsia="宋体" w:cs="宋体"/>
          <w:b/>
        </w:rPr>
        <w:t>（二）课程简介</w:t>
      </w:r>
    </w:p>
    <w:p w14:paraId="2F8A4FD7">
      <w:pPr>
        <w:spacing w:after="0" w:line="240" w:lineRule="auto"/>
        <w:jc w:val="both"/>
        <w:rPr>
          <w:rFonts w:hint="eastAsia" w:ascii="宋体" w:hAnsi="宋体" w:eastAsia="宋体" w:cs="宋体"/>
        </w:rPr>
      </w:pPr>
      <w:r>
        <w:rPr>
          <w:rFonts w:hint="eastAsia" w:ascii="宋体" w:hAnsi="宋体" w:eastAsia="宋体" w:cs="宋体"/>
          <w:b/>
        </w:rPr>
        <w:t>1.数智时代的语文教师素养概论</w:t>
      </w:r>
    </w:p>
    <w:p w14:paraId="6825C2D8">
      <w:pPr>
        <w:spacing w:after="0" w:line="240" w:lineRule="auto"/>
        <w:ind w:firstLine="440"/>
        <w:jc w:val="both"/>
        <w:rPr>
          <w:rFonts w:hint="eastAsia" w:ascii="宋体" w:hAnsi="宋体" w:eastAsia="宋体" w:cs="宋体"/>
        </w:rPr>
      </w:pPr>
      <w:r>
        <w:rPr>
          <w:rFonts w:hint="eastAsia" w:ascii="宋体" w:hAnsi="宋体" w:eastAsia="宋体" w:cs="宋体"/>
        </w:rPr>
        <w:t>本课程是本专业的起始课程，承担为整个微专业“立魂定调”的功能，是连接教师职业道德规范与数智化语文教学实践的基础性课程。引导学生系统理解新时代教师职业道德规范与《新时代中小学教师职业行为十项准则》的核心要求，形成坚定的教育信念与职业认同，认识数智化时代语文教师角色的拓展与素养结构的更新。</w:t>
      </w:r>
    </w:p>
    <w:p w14:paraId="0BB0CD36">
      <w:pPr>
        <w:spacing w:after="0" w:line="240" w:lineRule="auto"/>
        <w:ind w:firstLine="440"/>
        <w:jc w:val="both"/>
        <w:rPr>
          <w:rFonts w:hint="eastAsia" w:ascii="宋体" w:hAnsi="宋体" w:eastAsia="宋体" w:cs="宋体"/>
          <w:color w:val="auto"/>
        </w:rPr>
      </w:pPr>
      <w:r>
        <w:rPr>
          <w:rFonts w:hint="eastAsia" w:ascii="宋体" w:hAnsi="宋体" w:eastAsia="宋体" w:cs="宋体"/>
        </w:rPr>
        <w:t>课程内容围绕三大板块展开：一是师德根基板块，系统讲授教师职业道德规范、教育法律法规、教师职业认同与教育情怀；二是数智挑战板块，聚焦数智技术进入语文课堂引发的伦理议题，如学生隐私与数据安全、算法偏见与信息茧房、AI代写与学术诚信、数字鸿沟与教育公平以及AI辅助写作中的育人导向问题等；三是素养生成板块，明确数智时代语文教师应具备的数字素养框架，涵盖数字意识、数字知识、数字能力、数字伦理四个维度。教学实施采用“理论讲授+案例研讨”相结合的方式。</w:t>
      </w:r>
      <w:r>
        <w:rPr>
          <w:rFonts w:hint="eastAsia" w:ascii="宋体" w:hAnsi="宋体" w:eastAsia="宋体" w:cs="宋体"/>
          <w:color w:val="auto"/>
        </w:rPr>
        <w:t>课程考核采取过程性评价（50%）与总结性评价（50%）相结合的方式。</w:t>
      </w:r>
    </w:p>
    <w:p w14:paraId="18BD43F2">
      <w:pPr>
        <w:spacing w:after="0" w:line="240" w:lineRule="auto"/>
        <w:jc w:val="both"/>
        <w:rPr>
          <w:rFonts w:hint="eastAsia" w:ascii="宋体" w:hAnsi="宋体" w:eastAsia="宋体" w:cs="宋体"/>
        </w:rPr>
      </w:pPr>
      <w:r>
        <w:rPr>
          <w:rFonts w:hint="eastAsia" w:ascii="宋体" w:hAnsi="宋体" w:eastAsia="宋体" w:cs="宋体"/>
          <w:b/>
        </w:rPr>
        <w:t>2.数智赋能语文教材名篇解读</w:t>
      </w:r>
    </w:p>
    <w:p w14:paraId="2FE45EA7">
      <w:pPr>
        <w:spacing w:after="0" w:line="240" w:lineRule="auto"/>
        <w:ind w:firstLine="440"/>
        <w:jc w:val="both"/>
        <w:rPr>
          <w:rFonts w:hint="eastAsia" w:ascii="宋体" w:hAnsi="宋体" w:eastAsia="宋体" w:cs="宋体"/>
        </w:rPr>
      </w:pPr>
      <w:r>
        <w:rPr>
          <w:rFonts w:hint="eastAsia" w:ascii="宋体" w:hAnsi="宋体" w:eastAsia="宋体" w:cs="宋体"/>
        </w:rPr>
        <w:t>本课程立足语文课标“推动人工智能与教学融合”的修订导向，结合教育部等五部门《“人工智能+教育”行动计划》的战略部署，面向基础教育语文教材中的经典名篇教学，系统探讨数智技术在文本解读教学中的应用路径与边界原则。</w:t>
      </w:r>
    </w:p>
    <w:p w14:paraId="670FE7EF">
      <w:pPr>
        <w:spacing w:after="0" w:line="240" w:lineRule="auto"/>
        <w:ind w:firstLine="440"/>
        <w:jc w:val="both"/>
        <w:rPr>
          <w:rFonts w:hint="eastAsia" w:ascii="宋体" w:hAnsi="宋体" w:eastAsia="宋体" w:cs="宋体"/>
        </w:rPr>
      </w:pPr>
      <w:r>
        <w:rPr>
          <w:rFonts w:hint="eastAsia" w:ascii="宋体" w:hAnsi="宋体" w:eastAsia="宋体" w:cs="宋体"/>
        </w:rPr>
        <w:t>课程以统编版教材名篇为案例载体，涵盖基础教育的各个学段，具体设置为三大模块：1.情境还原与多模态呈现，借助AI图像生成、视频合成与智能配音，将名篇中的场景、意象具象化，消解学生与文本的隔阂，使学生沉浸体验经典作品的艺术感染力。2.数据驱动的文本分析，运用AI语义分析工具统计意象频次、标注情感倾向，将抽象的情感脉络与修辞效果转化为可视化图谱，使文本鉴赏从模糊印象走向有据可循。3.人机协同的思辨教学，以AI生成问题链、充当辩论角色，引导学生与AI对话、质疑、验证，在“对照原文—发现偏差—修正理解”的过程中，将课堂重心转向深度思辨与理性判断。</w:t>
      </w:r>
    </w:p>
    <w:p w14:paraId="6841AFA9">
      <w:pPr>
        <w:spacing w:after="0" w:line="240" w:lineRule="auto"/>
        <w:ind w:firstLine="440"/>
        <w:jc w:val="both"/>
        <w:rPr>
          <w:rFonts w:hint="eastAsia" w:ascii="宋体" w:hAnsi="宋体" w:eastAsia="宋体" w:cs="宋体"/>
        </w:rPr>
      </w:pPr>
      <w:r>
        <w:rPr>
          <w:rFonts w:hint="eastAsia" w:ascii="宋体" w:hAnsi="宋体" w:eastAsia="宋体" w:cs="宋体"/>
        </w:rPr>
        <w:t>课程采用“理论研讨+案例实操+模拟授课”相结合的方式，要求学生在教学实践中完成一次融入数智工具的名篇解读教学设计。考核方式为过程性评价（60%）与教学设计方案（40%）相结合。</w:t>
      </w:r>
    </w:p>
    <w:p w14:paraId="3AFCDF8E">
      <w:pPr>
        <w:spacing w:after="0" w:line="240" w:lineRule="auto"/>
        <w:jc w:val="both"/>
        <w:rPr>
          <w:rFonts w:hint="eastAsia" w:ascii="宋体" w:hAnsi="宋体" w:eastAsia="宋体" w:cs="宋体"/>
        </w:rPr>
      </w:pPr>
      <w:r>
        <w:rPr>
          <w:rFonts w:hint="eastAsia" w:ascii="宋体" w:hAnsi="宋体" w:eastAsia="宋体" w:cs="宋体"/>
          <w:b/>
        </w:rPr>
        <w:t>3.语文学科知识与教学能力研修</w:t>
      </w:r>
    </w:p>
    <w:p w14:paraId="1219196A">
      <w:pPr>
        <w:spacing w:after="0" w:line="240" w:lineRule="auto"/>
        <w:ind w:firstLine="440"/>
        <w:jc w:val="both"/>
        <w:rPr>
          <w:rFonts w:hint="eastAsia" w:ascii="宋体" w:hAnsi="宋体" w:eastAsia="宋体" w:cs="宋体"/>
        </w:rPr>
      </w:pPr>
      <w:r>
        <w:rPr>
          <w:rFonts w:hint="eastAsia" w:ascii="宋体" w:hAnsi="宋体" w:eastAsia="宋体" w:cs="宋体"/>
        </w:rPr>
        <w:t>本课程是面向有志于从事中小学语文教育工作的学生开设的教师教育类课程，承担重构语文教师知识结构、更新语文教学能力体系的双重任务，是连接语文教育专业与教师职业岗位的桥梁型课程。</w:t>
      </w:r>
    </w:p>
    <w:p w14:paraId="67F0AE47">
      <w:pPr>
        <w:spacing w:after="0" w:line="240" w:lineRule="auto"/>
        <w:ind w:firstLine="440"/>
        <w:jc w:val="both"/>
        <w:rPr>
          <w:rFonts w:hint="eastAsia" w:ascii="宋体" w:hAnsi="宋体" w:eastAsia="宋体" w:cs="宋体"/>
        </w:rPr>
      </w:pPr>
      <w:r>
        <w:rPr>
          <w:rFonts w:hint="eastAsia" w:ascii="宋体" w:hAnsi="宋体" w:eastAsia="宋体" w:cs="宋体"/>
        </w:rPr>
        <w:t>本课程旨在帮助学生建立适应数智化时代语文教育的学科知识框架与教学能力结构。课程内容引导学生系统梳理并结构化掌握语文教师的学科知识，包括语言学、文学、文章学、心理学、语文课程与教学论等知识，理解知识之间的关联与教学转化的路径；掌握教学设计、课堂组织、教学评价与教学反思的基本规范与方法，同时能够运用智能工具与数字资源开展备课、上课、学情诊断与教学研究，最终建构“学科功底扎实、教学能力过硬、数智素养过关”三位一体的专业素养。</w:t>
      </w:r>
    </w:p>
    <w:p w14:paraId="175AD188">
      <w:pPr>
        <w:spacing w:after="0" w:line="240" w:lineRule="auto"/>
        <w:ind w:firstLine="440"/>
        <w:jc w:val="both"/>
        <w:rPr>
          <w:rFonts w:hint="eastAsia" w:ascii="宋体" w:hAnsi="宋体" w:eastAsia="宋体" w:cs="宋体"/>
          <w:color w:val="auto"/>
        </w:rPr>
      </w:pPr>
      <w:r>
        <w:rPr>
          <w:rFonts w:hint="eastAsia" w:ascii="宋体" w:hAnsi="宋体" w:eastAsia="宋体" w:cs="宋体"/>
        </w:rPr>
        <w:t>课程实施采用“专题讲授+数智实训+智能点评”相结合的方法</w:t>
      </w:r>
      <w:r>
        <w:rPr>
          <w:rFonts w:hint="eastAsia" w:ascii="宋体" w:hAnsi="宋体" w:eastAsia="宋体" w:cs="宋体"/>
          <w:color w:val="auto"/>
        </w:rPr>
        <w:t>，课程考核采取过程性评价（50%）与总结性评价（50%）相结合的方式。</w:t>
      </w:r>
    </w:p>
    <w:p w14:paraId="12250BED">
      <w:pPr>
        <w:spacing w:after="0" w:line="240" w:lineRule="auto"/>
        <w:rPr>
          <w:rFonts w:hint="eastAsia" w:ascii="宋体" w:hAnsi="宋体" w:eastAsia="宋体" w:cs="宋体"/>
        </w:rPr>
      </w:pPr>
      <w:r>
        <w:rPr>
          <w:rFonts w:hint="eastAsia" w:ascii="宋体" w:hAnsi="宋体" w:eastAsia="宋体" w:cs="宋体"/>
          <w:b/>
        </w:rPr>
        <w:t>4.数智赋能语文课堂实战工作坊</w:t>
      </w:r>
    </w:p>
    <w:p w14:paraId="32473B72">
      <w:pPr>
        <w:spacing w:after="0" w:line="240" w:lineRule="auto"/>
        <w:ind w:firstLine="440"/>
        <w:jc w:val="both"/>
        <w:rPr>
          <w:rFonts w:hint="eastAsia" w:ascii="宋体" w:hAnsi="宋体" w:eastAsia="宋体" w:cs="宋体"/>
        </w:rPr>
      </w:pPr>
      <w:r>
        <w:rPr>
          <w:rFonts w:hint="eastAsia" w:ascii="宋体" w:hAnsi="宋体" w:eastAsia="宋体" w:cs="宋体"/>
        </w:rPr>
        <w:t>本课程是本专业的收口课程，是连接理论学习与真实课堂的实战检验场，承担着将先修课程所学转化为课堂实践能力的关键任务。</w:t>
      </w:r>
    </w:p>
    <w:p w14:paraId="71C04EAA">
      <w:pPr>
        <w:spacing w:after="0" w:line="240" w:lineRule="auto"/>
        <w:ind w:firstLine="440"/>
        <w:jc w:val="both"/>
        <w:rPr>
          <w:rFonts w:hint="eastAsia" w:ascii="宋体" w:hAnsi="宋体" w:eastAsia="宋体" w:cs="宋体"/>
        </w:rPr>
      </w:pPr>
      <w:r>
        <w:rPr>
          <w:rFonts w:hint="eastAsia" w:ascii="宋体" w:hAnsi="宋体" w:eastAsia="宋体" w:cs="宋体"/>
        </w:rPr>
        <w:t>本课程突破传统课堂的教学形态，以“工作坊”这一强调参与、协作、训练的实践模式展开，依托微格教室、智慧课堂与数字化教学平台，让学生在中小学一线教师的直接指导下，完成教学全流程的真实演练，实现从“会设计”到“能上课”再到“上好课”的质的跃升。</w:t>
      </w:r>
    </w:p>
    <w:p w14:paraId="7996D02F">
      <w:pPr>
        <w:spacing w:after="0" w:line="240" w:lineRule="auto"/>
        <w:ind w:firstLine="440"/>
        <w:jc w:val="both"/>
        <w:rPr>
          <w:rFonts w:hint="eastAsia" w:ascii="宋体" w:hAnsi="宋体" w:eastAsia="宋体" w:cs="宋体"/>
        </w:rPr>
      </w:pPr>
      <w:r>
        <w:rPr>
          <w:rFonts w:hint="eastAsia" w:ascii="宋体" w:hAnsi="宋体" w:eastAsia="宋体" w:cs="宋体"/>
        </w:rPr>
        <w:t>课程内容围绕三大板块展开：一是真实备课，</w:t>
      </w:r>
      <w:r>
        <w:rPr>
          <w:rFonts w:hint="eastAsia" w:ascii="宋体" w:hAnsi="宋体" w:eastAsia="宋体" w:cs="宋体"/>
          <w:color w:val="auto"/>
        </w:rPr>
        <w:t>以基础教育语</w:t>
      </w:r>
      <w:r>
        <w:rPr>
          <w:rFonts w:hint="eastAsia" w:ascii="宋体" w:hAnsi="宋体" w:eastAsia="宋体" w:cs="宋体"/>
        </w:rPr>
        <w:t>文教材篇目为对象，由行业导师提供真实学情与教学情境，学生分组完成从教材研读、目标设定、活动设计、教案研制到课件等数字资源制作的全流程备课；二是模拟演练，在微格教室或智慧课堂中开展模拟授课，综合运用AI协同备课成果、智能学情诊断与数字教学资源实施课堂教学，行业导师与校内教师现场观摩并即时点评，辅之以同伴互评，依托教学录播与视频智能分析，对教学设计与实施进行反思并优化设计，提升教学技能；三是试水教学，进入真实课堂进行试教和施教，开展围绕课堂教学的行动学习，检测模拟演练效果，同样依托教学录播与视频智能分析，进一步提高教学技能，形成“上课——诊断——反思——改进——再上课”的螺旋上升。</w:t>
      </w:r>
    </w:p>
    <w:p w14:paraId="29BD81CD">
      <w:pPr>
        <w:spacing w:after="0" w:line="240" w:lineRule="auto"/>
        <w:ind w:firstLine="440"/>
        <w:jc w:val="both"/>
        <w:rPr>
          <w:rFonts w:hint="eastAsia" w:ascii="宋体" w:hAnsi="宋体" w:eastAsia="宋体" w:cs="宋体"/>
        </w:rPr>
      </w:pPr>
      <w:r>
        <w:rPr>
          <w:rFonts w:hint="eastAsia" w:ascii="宋体" w:hAnsi="宋体" w:eastAsia="宋体" w:cs="宋体"/>
        </w:rPr>
        <w:t>教学模式主要采用“行业导师示范+学生实战+即时点评+视频复盘”的工作坊模式，以AI协同备课报告、教学设计方案、课堂教学实录、教学视频反思与同伴互评记录为主要评价依据</w:t>
      </w:r>
      <w:r>
        <w:rPr>
          <w:rFonts w:hint="eastAsia" w:ascii="宋体" w:hAnsi="宋体" w:eastAsia="宋体" w:cs="宋体"/>
          <w:color w:val="auto"/>
        </w:rPr>
        <w:t>，重点考查学生的真实课堂表现与持续改进能力，课程考核采取过程性评价（60%）与总结性评价（40%）相结合的方式。</w:t>
      </w:r>
    </w:p>
    <w:p w14:paraId="66297082">
      <w:pPr>
        <w:spacing w:after="0" w:line="360" w:lineRule="auto"/>
        <w:rPr>
          <w:rFonts w:hint="eastAsia" w:ascii="宋体" w:hAnsi="宋体" w:eastAsia="宋体" w:cs="宋体"/>
        </w:rPr>
      </w:pPr>
      <w:r>
        <w:rPr>
          <w:rFonts w:hint="eastAsia" w:ascii="宋体" w:hAnsi="宋体" w:eastAsia="宋体" w:cs="宋体"/>
          <w:b/>
        </w:rPr>
        <w:t>八、报名和咨询</w:t>
      </w:r>
    </w:p>
    <w:p w14:paraId="5ECE1FAA">
      <w:pPr>
        <w:spacing w:after="0" w:line="240" w:lineRule="auto"/>
        <w:ind w:firstLine="440"/>
        <w:rPr>
          <w:rFonts w:hint="eastAsia" w:ascii="宋体" w:hAnsi="宋体" w:eastAsia="宋体" w:cs="宋体"/>
        </w:rPr>
      </w:pPr>
      <w:r>
        <w:rPr>
          <w:rFonts w:hint="eastAsia" w:ascii="宋体" w:hAnsi="宋体" w:eastAsia="宋体" w:cs="宋体"/>
        </w:rPr>
        <w:t>有意报名的同学请加QQ群（群号：1058472622），下载填写《江苏师范大学学生微专业申请表》，并于2026年10月26日17：00前报送至江苏师范大学泉山校区文学院教40号楼112。</w:t>
      </w:r>
    </w:p>
    <w:p w14:paraId="24A1A0F0">
      <w:pPr>
        <w:spacing w:after="0" w:line="240" w:lineRule="auto"/>
        <w:ind w:firstLine="440"/>
        <w:rPr>
          <w:rFonts w:hint="eastAsia" w:ascii="宋体" w:hAnsi="宋体" w:eastAsia="宋体" w:cs="宋体"/>
        </w:rPr>
      </w:pPr>
      <w:r>
        <w:rPr>
          <w:rFonts w:hint="eastAsia" w:ascii="宋体" w:hAnsi="宋体" w:eastAsia="宋体" w:cs="宋体"/>
        </w:rPr>
        <w:t>工作咨询、联系人：丁老师，0516-83656431</w:t>
      </w:r>
    </w:p>
    <w:p w14:paraId="67A7EB68">
      <w:pPr>
        <w:spacing w:after="0" w:line="240" w:lineRule="auto"/>
        <w:ind w:firstLine="440"/>
        <w:rPr>
          <w:rFonts w:hint="eastAsia" w:ascii="宋体" w:hAnsi="宋体" w:eastAsia="宋体" w:cs="宋体"/>
        </w:rPr>
      </w:pPr>
      <w:r>
        <w:rPr>
          <w:rFonts w:hint="eastAsia" w:ascii="宋体" w:hAnsi="宋体" w:eastAsia="宋体" w:cs="宋体"/>
        </w:rPr>
        <w:t>QQ群二维码：</w:t>
      </w:r>
    </w:p>
    <w:p w14:paraId="2FFED4EA">
      <w:pPr>
        <w:spacing w:after="0" w:line="240" w:lineRule="auto"/>
        <w:jc w:val="center"/>
        <w:rPr>
          <w:rFonts w:hint="eastAsia" w:ascii="宋体" w:hAnsi="宋体" w:eastAsia="宋体" w:cs="宋体"/>
        </w:rPr>
      </w:pPr>
      <w:r>
        <w:rPr>
          <w:rFonts w:hint="eastAsia" w:ascii="宋体" w:hAnsi="宋体" w:eastAsia="宋体" w:cs="宋体"/>
        </w:rPr>
        <w:drawing>
          <wp:inline distT="0" distB="0" distL="114300" distR="114300">
            <wp:extent cx="1799590" cy="2227580"/>
            <wp:effectExtent l="0" t="0" r="1016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a:stretch>
                      <a:fillRect/>
                    </a:stretch>
                  </pic:blipFill>
                  <pic:spPr>
                    <a:xfrm>
                      <a:off x="0" y="0"/>
                      <a:ext cx="1800000" cy="2227972"/>
                    </a:xfrm>
                    <a:prstGeom prst="rect">
                      <a:avLst/>
                    </a:prstGeom>
                  </pic:spPr>
                </pic:pic>
              </a:graphicData>
            </a:graphic>
          </wp:inline>
        </w:drawing>
      </w:r>
    </w:p>
    <w:sectPr>
      <w:footerReference r:id="rId5" w:type="default"/>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A1683">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74"/>
    <w:rsid w:val="00000FF9"/>
    <w:rsid w:val="00061572"/>
    <w:rsid w:val="001906BC"/>
    <w:rsid w:val="001A1EC7"/>
    <w:rsid w:val="001D1162"/>
    <w:rsid w:val="001F1179"/>
    <w:rsid w:val="00223A4E"/>
    <w:rsid w:val="0028020F"/>
    <w:rsid w:val="002978F4"/>
    <w:rsid w:val="003000AF"/>
    <w:rsid w:val="00305F33"/>
    <w:rsid w:val="00474F0A"/>
    <w:rsid w:val="004F7E71"/>
    <w:rsid w:val="00570EED"/>
    <w:rsid w:val="00630A57"/>
    <w:rsid w:val="006968C3"/>
    <w:rsid w:val="006D5EDC"/>
    <w:rsid w:val="00711199"/>
    <w:rsid w:val="0078492C"/>
    <w:rsid w:val="0079439B"/>
    <w:rsid w:val="007B23C6"/>
    <w:rsid w:val="007E6014"/>
    <w:rsid w:val="0080615D"/>
    <w:rsid w:val="0082463F"/>
    <w:rsid w:val="00855F38"/>
    <w:rsid w:val="008A2774"/>
    <w:rsid w:val="0092269F"/>
    <w:rsid w:val="009613C3"/>
    <w:rsid w:val="00993516"/>
    <w:rsid w:val="009C3E82"/>
    <w:rsid w:val="00A445E1"/>
    <w:rsid w:val="00A803AE"/>
    <w:rsid w:val="00B21122"/>
    <w:rsid w:val="00BA1D91"/>
    <w:rsid w:val="00BD32B5"/>
    <w:rsid w:val="00BE3646"/>
    <w:rsid w:val="00BF2097"/>
    <w:rsid w:val="00C44B95"/>
    <w:rsid w:val="00C55771"/>
    <w:rsid w:val="00C900F4"/>
    <w:rsid w:val="00C90C95"/>
    <w:rsid w:val="00CA7361"/>
    <w:rsid w:val="00CB0554"/>
    <w:rsid w:val="00CF0511"/>
    <w:rsid w:val="00D05706"/>
    <w:rsid w:val="00D271BE"/>
    <w:rsid w:val="00D35A5D"/>
    <w:rsid w:val="00D369FA"/>
    <w:rsid w:val="00DA1402"/>
    <w:rsid w:val="00DD5C13"/>
    <w:rsid w:val="00DE7F87"/>
    <w:rsid w:val="00E32FBF"/>
    <w:rsid w:val="00E56DAE"/>
    <w:rsid w:val="00E667D0"/>
    <w:rsid w:val="00E66D4E"/>
    <w:rsid w:val="00E76BC6"/>
    <w:rsid w:val="00E85A10"/>
    <w:rsid w:val="00F36050"/>
    <w:rsid w:val="00F501F1"/>
    <w:rsid w:val="00F51E64"/>
    <w:rsid w:val="00FA2A1A"/>
    <w:rsid w:val="29C6139D"/>
    <w:rsid w:val="2DAB4949"/>
    <w:rsid w:val="31642CFA"/>
    <w:rsid w:val="3BBD0204"/>
    <w:rsid w:val="4502744F"/>
    <w:rsid w:val="498508A9"/>
    <w:rsid w:val="4B8A6E47"/>
    <w:rsid w:val="4D7064C8"/>
    <w:rsid w:val="57743301"/>
    <w:rsid w:val="7550037B"/>
    <w:rsid w:val="7BF56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38"/>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4"/>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2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3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western"/>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paragraph" w:styleId="19">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20">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1">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明显强调1"/>
    <w:basedOn w:val="17"/>
    <w:qFormat/>
    <w:uiPriority w:val="21"/>
    <w:rPr>
      <w:i/>
      <w:iCs/>
      <w:color w:val="104862" w:themeColor="accent1" w:themeShade="BF"/>
    </w:rPr>
  </w:style>
  <w:style w:type="paragraph" w:styleId="25">
    <w:name w:val="List Paragraph"/>
    <w:basedOn w:val="1"/>
    <w:qFormat/>
    <w:uiPriority w:val="34"/>
    <w:pPr>
      <w:ind w:left="720"/>
      <w:contextualSpacing/>
    </w:pPr>
  </w:style>
  <w:style w:type="character" w:customStyle="1" w:styleId="26">
    <w:name w:val="页眉 字符"/>
    <w:basedOn w:val="17"/>
    <w:link w:val="12"/>
    <w:qFormat/>
    <w:uiPriority w:val="99"/>
    <w:rPr>
      <w:sz w:val="18"/>
      <w:szCs w:val="18"/>
    </w:rPr>
  </w:style>
  <w:style w:type="character" w:customStyle="1" w:styleId="27">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29">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0">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明显参考1"/>
    <w:basedOn w:val="17"/>
    <w:qFormat/>
    <w:uiPriority w:val="32"/>
    <w:rPr>
      <w:b/>
      <w:bCs/>
      <w:smallCaps/>
      <w:color w:val="104862" w:themeColor="accent1" w:themeShade="BF"/>
      <w:spacing w:val="5"/>
    </w:rPr>
  </w:style>
  <w:style w:type="character" w:customStyle="1" w:styleId="32">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4 字符"/>
    <w:basedOn w:val="17"/>
    <w:link w:val="5"/>
    <w:semiHidden/>
    <w:qFormat/>
    <w:uiPriority w:val="9"/>
    <w:rPr>
      <w:rFonts w:cstheme="majorBidi"/>
      <w:color w:val="104862" w:themeColor="accent1" w:themeShade="BF"/>
      <w:sz w:val="28"/>
      <w:szCs w:val="28"/>
    </w:rPr>
  </w:style>
  <w:style w:type="character" w:customStyle="1" w:styleId="34">
    <w:name w:val="页脚 字符"/>
    <w:basedOn w:val="17"/>
    <w:link w:val="11"/>
    <w:qFormat/>
    <w:uiPriority w:val="99"/>
    <w:rPr>
      <w:sz w:val="18"/>
      <w:szCs w:val="18"/>
    </w:rPr>
  </w:style>
  <w:style w:type="character" w:customStyle="1" w:styleId="35">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6">
    <w:name w:val="明显引用 字符"/>
    <w:basedOn w:val="17"/>
    <w:link w:val="19"/>
    <w:qFormat/>
    <w:uiPriority w:val="30"/>
    <w:rPr>
      <w:i/>
      <w:iCs/>
      <w:color w:val="104862" w:themeColor="accent1" w:themeShade="BF"/>
    </w:rPr>
  </w:style>
  <w:style w:type="character" w:customStyle="1" w:styleId="3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38">
    <w:name w:val="标题 6 字符"/>
    <w:basedOn w:val="17"/>
    <w:link w:val="7"/>
    <w:semiHidden/>
    <w:qFormat/>
    <w:uiPriority w:val="9"/>
    <w:rPr>
      <w:rFonts w:cstheme="majorBidi"/>
      <w:b/>
      <w:bCs/>
      <w:color w:val="104862" w:themeColor="accent1" w:themeShade="BF"/>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5651</Words>
  <Characters>5795</Characters>
  <Lines>42</Lines>
  <Paragraphs>11</Paragraphs>
  <TotalTime>0</TotalTime>
  <ScaleCrop>false</ScaleCrop>
  <LinksUpToDate>false</LinksUpToDate>
  <CharactersWithSpaces>5795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2026-10-21T00:53:00Z</dcterms:created>
  <dc:creator>Lenovo</dc:creator>
  <cp:lastModifiedBy>灵灵</cp:lastModifiedBy>
  <dcterms:modified xsi:type="dcterms:W3CDTF">2026-10-21T09:56:27Z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eyJoZGlkIjoiNzRjNjBhOGU3ZTc5OWM0ZGEyMTM4ODNjODM0NWE0ZGQiLCJ1c2VySWQiOiI0OTA3MDkzODMifQ==</vt:lpwstr>
  </property>
  <property fmtid="{D5CDD505-2E9C-101B-9397-08002B2CF9AE}" pid="3" name="KSOProductBuildVer">
    <vt:lpwstr>2052-12.1.0.28802</vt:lpwstr>
  </property>
  <property fmtid="{D5CDD505-2E9C-101B-9397-08002B2CF9AE}" pid="4" name="ICV">
    <vt:lpwstr>D9579224604644CC82D0B12372B04B39_12</vt:lpwstr>
  </property>
</Properties>
</file>