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E765D">
      <w:pPr>
        <w:jc w:val="center"/>
        <w:rPr>
          <w:rFonts w:hint="default" w:ascii="Times New Roman Regular" w:hAnsi="Times New Roman Regular" w:eastAsia="宋体" w:cs="Times New Roman Regular"/>
        </w:rPr>
      </w:pPr>
      <w:r>
        <w:rPr>
          <w:rFonts w:ascii="黑体" w:hAnsi="黑体" w:eastAsia="黑体"/>
          <w:b/>
          <w:sz w:val="32"/>
        </w:rPr>
        <w:t>江苏师范大学AI</w:t>
      </w:r>
      <w:r>
        <w:rPr>
          <w:rFonts w:hint="eastAsia" w:ascii="黑体" w:hAnsi="黑体" w:eastAsia="黑体"/>
          <w:b/>
          <w:sz w:val="32"/>
          <w:lang w:val="en-US" w:eastAsia="zh-CN"/>
        </w:rPr>
        <w:t>教育产品设计与开发</w:t>
      </w:r>
      <w:r>
        <w:rPr>
          <w:rFonts w:ascii="黑体" w:hAnsi="黑体" w:eastAsia="黑体"/>
          <w:b/>
          <w:sz w:val="32"/>
        </w:rPr>
        <w:t>微专业招生简章</w:t>
      </w:r>
    </w:p>
    <w:p w14:paraId="1616B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一、微专业介绍</w:t>
      </w:r>
    </w:p>
    <w:p w14:paraId="6E297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“AI教育产品设计与开发”微专业面向教育数字化与人工智能应用需求，聚焦教育产品从需求发现、交互设计、功能开发到运营优化的完整流程。面向不同专业背景的本科生，以教育产品设计、AI产品助理、教育产品运营等岗位的基本能力为导向，培养能够理解教育场景、运用人工智能工具并完成产品实践的复合型应用人才。微专业设置4门必修课程，共8学分、128学时（理论56学时、实验72学时），学制一年，分两个学期完成。课程以同一教育产品项目贯穿，逐步形成需求文档、交互原型、可运行Demo及运营优化方案。</w:t>
      </w:r>
    </w:p>
    <w:p w14:paraId="22AB6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二、培养目标</w:t>
      </w:r>
    </w:p>
    <w:p w14:paraId="23502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（一）培养方向</w:t>
      </w:r>
    </w:p>
    <w:p w14:paraId="2BDAF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培养具备教育场景分析、用户研究、产品交互设计、AI辅助开发及运营数据分析能力的应用型人才。学生能够从教育需求出发提出产品方案，借助AI辅助编程、低代码与智能体工具实现基础功能，并依据用户反馈和产品数据持续优化，同时关注教育价值与人工智能应用边界。</w:t>
      </w:r>
    </w:p>
    <w:p w14:paraId="7C282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（二）培养模式</w:t>
      </w:r>
    </w:p>
    <w:p w14:paraId="540C1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1. 特色课程设计</w:t>
      </w:r>
    </w:p>
    <w:p w14:paraId="3B828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模块化课程结构：围绕“需求分析—交互原型—产品开发—运营优化”设置四门相互衔接的课程。第一学期学习需求分析与交互原型设计，第二学期完成AI辅助开发及产品运营分析。</w:t>
      </w:r>
    </w:p>
    <w:p w14:paraId="1A4D0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前沿技术内容：结合课程项目融入大语言模型、教育智能体、AI辅助编程、知识库应用和学习行为数据分析等内容，侧重工具运用、技术选型及产品落地，不要求学生预先具备编程基础。</w:t>
      </w:r>
    </w:p>
    <w:p w14:paraId="10722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2. 实践与创新</w:t>
      </w:r>
    </w:p>
    <w:p w14:paraId="2D51A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（1）项目驱动：以教育场景中的具体问题为起点，依次完成用户研究、产品需求文档（PRD）、交互原型、可运行产品Demo与运营改进方案，形成连续的项目作品集。</w:t>
      </w:r>
    </w:p>
    <w:p w14:paraId="0D62D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（2）企业项目实训：结合教育科技行业案例和公开产品实践组织案例分析与模拟项目；在合作条件具备时，可引入企业需求或实践指导，具体安排以实际落实情况为准。</w:t>
      </w:r>
    </w:p>
    <w:p w14:paraId="3CCD2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default" w:ascii="Times New Roman Regular" w:hAnsi="Times New Roman Regular" w:eastAsia="宋体" w:cs="Times New Roman Regular"/>
        </w:rPr>
      </w:pPr>
      <w:r>
        <w:rPr>
          <w:rFonts w:hint="eastAsia" w:ascii="宋体" w:hAnsi="宋体" w:eastAsia="宋体" w:cs="宋体"/>
          <w:sz w:val="21"/>
          <w:szCs w:val="21"/>
        </w:rPr>
        <w:t>（3）创新创业支持：鼓励学生在课程成果基础上开展产品展示、项目路演和创新实践，指导学生评估教育价值、用户需求及技术可行性。</w:t>
      </w:r>
    </w:p>
    <w:p w14:paraId="0271E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3. 综合素质培养</w:t>
      </w:r>
    </w:p>
    <w:p w14:paraId="1A99D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default" w:ascii="Times New Roman Regular" w:hAnsi="Times New Roman Regular" w:eastAsia="宋体" w:cs="Times New Roman Regular"/>
          <w:sz w:val="21"/>
          <w:szCs w:val="21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1"/>
          <w:szCs w:val="21"/>
        </w:rPr>
        <w:t>通过跨专业小组协作、用户访谈、设计评审、产品演示与项目汇报，提升沟通表达、团队协作、批判性思考及项目管理能力。</w:t>
      </w:r>
    </w:p>
    <w:p w14:paraId="4F830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（三）培养要求</w:t>
      </w:r>
    </w:p>
    <w:p w14:paraId="0FDCA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1. 理论基础</w:t>
      </w:r>
    </w:p>
    <w:p w14:paraId="1E24A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理解教育产品需求分析、用户体验与交互设计、AI辅助开发和产品运营分析的基本概念、工作流程及方法，能够说明教育目标、产品功能和技术实现之间的联系。</w:t>
      </w:r>
    </w:p>
    <w:p w14:paraId="5A760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2. 实践能力</w:t>
      </w:r>
    </w:p>
    <w:p w14:paraId="2ED9D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能够开展教育场景分析、用户研究和竞品分析，编写PRD并制作交互原型；能够借助AI辅助开发工具实现、测试和演示基础产品功能，并依据用户反馈及数据提出优化建议。</w:t>
      </w:r>
    </w:p>
    <w:p w14:paraId="2096C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3. 市场与政策</w:t>
      </w:r>
    </w:p>
    <w:p w14:paraId="4954F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default" w:ascii="Times New Roman Regular" w:hAnsi="Times New Roman Regular" w:eastAsia="宋体" w:cs="Times New Roman Regular"/>
          <w:sz w:val="21"/>
          <w:szCs w:val="21"/>
        </w:rPr>
      </w:pPr>
      <w:r>
        <w:rPr>
          <w:rFonts w:hint="default" w:ascii="Times New Roman Regular" w:hAnsi="Times New Roman Regular" w:eastAsia="宋体" w:cs="Times New Roman Regular"/>
          <w:sz w:val="21"/>
          <w:szCs w:val="21"/>
        </w:rPr>
        <w:t>了解教育数字化发展趋势、教育科技产品相关岗位职责及产品设计开发的基本规范，能够综合考虑产品应用情境、资源条件、数据使用和服务对象。</w:t>
      </w:r>
    </w:p>
    <w:p w14:paraId="7D1AB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4. 社会责任与职业道德</w:t>
      </w:r>
    </w:p>
    <w:p w14:paraId="4600A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default" w:ascii="Times New Roman Regular" w:hAnsi="Times New Roman Regular" w:eastAsia="宋体" w:cs="Times New Roman Regular"/>
        </w:rPr>
      </w:pPr>
      <w:r>
        <w:rPr>
          <w:rFonts w:hint="eastAsia" w:ascii="宋体" w:hAnsi="宋体" w:eastAsia="宋体" w:cs="宋体"/>
          <w:sz w:val="21"/>
          <w:szCs w:val="21"/>
        </w:rPr>
        <w:t>遵守学术诚信与知识产权规范，关注教育公平、学习者权益、未成年人信息和隐私保护，能够识别AI生成内容的错误、偏差及不当依赖风险。</w:t>
      </w:r>
    </w:p>
    <w:p w14:paraId="394C4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三、专业特色</w:t>
      </w:r>
    </w:p>
    <w:p w14:paraId="4A7B2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1. 前沿课程设置</w:t>
      </w:r>
    </w:p>
    <w:p w14:paraId="3BF08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default" w:ascii="Times New Roman Regular" w:hAnsi="Times New Roman Regular" w:eastAsia="宋体" w:cs="Times New Roman Regular"/>
        </w:rPr>
      </w:pPr>
      <w:r>
        <w:rPr>
          <w:rFonts w:hint="eastAsia" w:ascii="宋体" w:hAnsi="宋体" w:eastAsia="宋体" w:cs="宋体"/>
          <w:sz w:val="21"/>
          <w:szCs w:val="21"/>
        </w:rPr>
        <w:t>围绕教育产品开发所需的大语言模型、智能体、AI辅助编程与数据分析等工具和方法组织教学，强调技术的适用性、可靠性及教育价值。</w:t>
      </w:r>
    </w:p>
    <w:p w14:paraId="2B867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2. 实践导向</w:t>
      </w:r>
    </w:p>
    <w:p w14:paraId="7D2D3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以连续产品项目贯穿四门课程，强调从用户需求到可运行Demo、再到运营反馈与迭代优化的完整实践过程。</w:t>
      </w:r>
    </w:p>
    <w:p w14:paraId="59E0B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3. 跨学科融合</w:t>
      </w:r>
    </w:p>
    <w:p w14:paraId="58760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default" w:ascii="Times New Roman Regular" w:hAnsi="Times New Roman Regular" w:eastAsia="宋体" w:cs="Times New Roman Regular"/>
          <w:sz w:val="21"/>
          <w:szCs w:val="21"/>
        </w:rPr>
      </w:pPr>
      <w:r>
        <w:rPr>
          <w:rFonts w:hint="default" w:ascii="Times New Roman Regular" w:hAnsi="Times New Roman Regular" w:eastAsia="宋体" w:cs="Times New Roman Regular"/>
          <w:sz w:val="21"/>
          <w:szCs w:val="21"/>
        </w:rPr>
        <w:t>融合教育学、学习科学、人工智能应用、产品设计与数据分析，面向不同专业背景学生采用案例讲解、工具演示与分层实践任务。</w:t>
      </w:r>
    </w:p>
    <w:p w14:paraId="6DC7F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4. 社会责任与可持续发展</w:t>
      </w:r>
    </w:p>
    <w:p w14:paraId="5D6EF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在产品设计、测试与运营过程中关注学习者权益、隐私保护、AI输出可靠性和产品可持续改进。</w:t>
      </w:r>
    </w:p>
    <w:p w14:paraId="08472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四、资源保障</w:t>
      </w:r>
    </w:p>
    <w:p w14:paraId="621A8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1. 教学团队</w:t>
      </w:r>
    </w:p>
    <w:p w14:paraId="50508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default" w:ascii="Times New Roman Regular" w:hAnsi="Times New Roman Regular" w:eastAsia="宋体" w:cs="Times New Roman Regular"/>
        </w:rPr>
      </w:pPr>
      <w:r>
        <w:rPr>
          <w:rFonts w:hint="default" w:ascii="Times New Roman Regular" w:hAnsi="Times New Roman Regular" w:eastAsia="宋体" w:cs="Times New Roman Regular"/>
          <w:sz w:val="21"/>
          <w:szCs w:val="21"/>
        </w:rPr>
        <w:t>拟整合教育技术学、计算机科学与技术及人工智能等相关领域的教学力量，开展跨学科课程建设和项目指导；具体教师安排以学校批准的教学计划为准。</w:t>
      </w:r>
    </w:p>
    <w:p w14:paraId="33F12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 Regular" w:hAnsi="Times New Roman Regular" w:eastAsia="宋体" w:cs="Times New Roman Regular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2. 课程资源</w:t>
      </w:r>
    </w:p>
    <w:p w14:paraId="4AC73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依托学校现有教学资源，建设课程案例、产品需求文档示例、原型设计练习、AI开发实践和运营分析任务等教学材料。</w:t>
      </w:r>
    </w:p>
    <w:p w14:paraId="3B486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3. 创新创业平台</w:t>
      </w:r>
    </w:p>
    <w:p w14:paraId="4C522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default" w:ascii="Times New Roman Regular" w:hAnsi="Times New Roman Regular" w:eastAsia="宋体" w:cs="Times New Roman Regular"/>
          <w:sz w:val="21"/>
          <w:szCs w:val="21"/>
        </w:rPr>
      </w:pPr>
      <w:r>
        <w:rPr>
          <w:rFonts w:hint="default" w:ascii="Times New Roman Regular" w:hAnsi="Times New Roman Regular" w:eastAsia="宋体" w:cs="Times New Roman Regular"/>
          <w:sz w:val="21"/>
          <w:szCs w:val="21"/>
        </w:rPr>
        <w:t>结合校内创新创业教育资源组织项目展示、方案评审与创新实践活动；具体支持方式以学校相关安排为准。</w:t>
      </w:r>
    </w:p>
    <w:p w14:paraId="2B65B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4. 学术资源</w:t>
      </w:r>
    </w:p>
    <w:p w14:paraId="539AC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default" w:ascii="Times New Roman Regular" w:hAnsi="Times New Roman Regular" w:eastAsia="宋体" w:cs="Times New Roman Regular"/>
          <w:sz w:val="21"/>
          <w:szCs w:val="21"/>
        </w:rPr>
      </w:pPr>
      <w:r>
        <w:rPr>
          <w:rFonts w:hint="default" w:ascii="Times New Roman Regular" w:hAnsi="Times New Roman Regular" w:eastAsia="宋体" w:cs="Times New Roman Regular"/>
          <w:sz w:val="21"/>
          <w:szCs w:val="21"/>
        </w:rPr>
        <w:t>利用学校文献资源与相关科研积累，为教育产品案例分析、技术应用与课程项目提供学习支持。</w:t>
      </w:r>
    </w:p>
    <w:p w14:paraId="00D10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五、招生对象及条件</w:t>
      </w:r>
    </w:p>
    <w:p w14:paraId="4FF0E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default" w:ascii="Times New Roman Regular" w:hAnsi="Times New Roman Regular" w:eastAsia="宋体" w:cs="Times New Roman Regular"/>
          <w:b/>
          <w:bCs/>
          <w:sz w:val="21"/>
          <w:szCs w:val="21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一）招生对象：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面向全校学有余力的全日制在校本科生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或研究生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，欢迎教育、计算机、人工智能及其他专业对AI教育产品设计与开发感兴趣的学生报名。不要求已有编程基础。</w:t>
      </w:r>
    </w:p>
    <w:p w14:paraId="6D980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EE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（二）计划招生人数：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计划招生30人。</w:t>
      </w:r>
    </w:p>
    <w:p w14:paraId="38E02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宋体" w:hAnsi="宋体" w:eastAsia="宋体" w:cs="宋体"/>
          <w:color w:val="EE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（三）学制、学分：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学制一年，原则上两个学期完成；共4门必修课程，8学分、128学时。</w:t>
      </w:r>
    </w:p>
    <w:p w14:paraId="3058F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宋体" w:hAnsi="宋体" w:eastAsia="宋体" w:cs="宋体"/>
          <w:b/>
          <w:bCs/>
          <w:sz w:val="21"/>
          <w:szCs w:val="21"/>
          <w:shd w:val="clear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（四）收费标准：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shd w:val="clear"/>
        </w:rPr>
        <w:t>按模板所列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shd w:val="clear"/>
          <w:lang w:val="en-US" w:eastAsia="zh-CN"/>
        </w:rPr>
        <w:t>80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shd w:val="clear"/>
        </w:rPr>
        <w:t>元/学分计算，8学分合计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shd w:val="clear"/>
          <w:lang w:val="en-US" w:eastAsia="zh-CN"/>
        </w:rPr>
        <w:t>640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shd w:val="clear"/>
        </w:rPr>
        <w:t>元；具体以学校当年收费政策为准。</w:t>
      </w:r>
    </w:p>
    <w:p w14:paraId="38B70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宋体" w:hAnsi="宋体" w:eastAsia="宋体" w:cs="宋体"/>
          <w:color w:val="EE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（五）授课方式：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本微专业独立开班，学制一年，利用课余时间授课，采用线下教学，结合案例研讨、工具实操与项目实践。</w:t>
      </w:r>
    </w:p>
    <w:p w14:paraId="2BF99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六、学分认定与证书授予</w:t>
      </w:r>
    </w:p>
    <w:p w14:paraId="4C5C7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textAlignment w:val="auto"/>
        <w:rPr>
          <w:rFonts w:hint="default" w:ascii="Times New Roman Regular" w:hAnsi="Times New Roman Regular" w:eastAsia="宋体" w:cs="Times New Roman Regular"/>
          <w:color w:val="auto"/>
          <w:sz w:val="21"/>
          <w:szCs w:val="21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1"/>
          <w:szCs w:val="21"/>
        </w:rPr>
        <w:t>学生完成微专业培养方案规定的课程并达到学习要求，由微专业所在学院审核后提出结业名单，报教务处备案，由教务处统一颁发结业证书和成绩单；微专业是非学历教育，不授予学位。</w:t>
      </w:r>
      <w:r>
        <w:rPr>
          <w:rFonts w:hint="eastAsia" w:ascii="Times New Roman Regular" w:hAnsi="Times New Roman Regular" w:eastAsia="宋体" w:cs="Times New Roman Regular"/>
          <w:color w:val="auto"/>
          <w:sz w:val="21"/>
          <w:szCs w:val="21"/>
          <w:lang w:eastAsia="zh-CN"/>
        </w:rPr>
        <w:t>如果</w:t>
      </w:r>
      <w:r>
        <w:rPr>
          <w:rFonts w:hint="eastAsia" w:ascii="Times New Roman Regular" w:hAnsi="Times New Roman Regular" w:eastAsia="宋体" w:cs="Times New Roman Regular"/>
          <w:color w:val="auto"/>
          <w:sz w:val="21"/>
          <w:szCs w:val="21"/>
          <w:lang w:val="en-US" w:eastAsia="zh-CN"/>
        </w:rPr>
        <w:t>本</w:t>
      </w:r>
      <w:r>
        <w:rPr>
          <w:rFonts w:hint="eastAsia" w:ascii="Times New Roman Regular" w:hAnsi="Times New Roman Regular" w:eastAsia="宋体" w:cs="Times New Roman Regular"/>
          <w:color w:val="auto"/>
          <w:sz w:val="21"/>
          <w:szCs w:val="21"/>
          <w:lang w:eastAsia="zh-CN"/>
        </w:rPr>
        <w:t>微专业成功入库教育部学信网</w:t>
      </w:r>
      <w:r>
        <w:rPr>
          <w:rFonts w:hint="eastAsia" w:ascii="Times New Roman Regular" w:hAnsi="Times New Roman Regular" w:eastAsia="宋体" w:cs="Times New Roman Regular"/>
          <w:color w:val="auto"/>
          <w:sz w:val="21"/>
          <w:szCs w:val="21"/>
          <w:lang w:val="en-US" w:eastAsia="zh-CN"/>
        </w:rPr>
        <w:t>获得</w:t>
      </w:r>
      <w:r>
        <w:rPr>
          <w:rFonts w:hint="eastAsia" w:ascii="Times New Roman Regular" w:hAnsi="Times New Roman Regular" w:eastAsia="宋体" w:cs="Times New Roman Regular"/>
          <w:color w:val="auto"/>
          <w:sz w:val="21"/>
          <w:szCs w:val="21"/>
          <w:lang w:eastAsia="zh-CN"/>
        </w:rPr>
        <w:t>备案，毕业生及用人单位可登录学信网查询相关</w:t>
      </w:r>
      <w:bookmarkStart w:id="1" w:name="_GoBack"/>
      <w:bookmarkEnd w:id="1"/>
      <w:r>
        <w:rPr>
          <w:rFonts w:hint="eastAsia" w:ascii="Times New Roman Regular" w:hAnsi="Times New Roman Regular" w:eastAsia="宋体" w:cs="Times New Roman Regular"/>
          <w:color w:val="auto"/>
          <w:sz w:val="21"/>
          <w:szCs w:val="21"/>
          <w:lang w:eastAsia="zh-CN"/>
        </w:rPr>
        <w:t>修读信息。</w:t>
      </w:r>
    </w:p>
    <w:p w14:paraId="6C3CC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七、微专业课程</w:t>
      </w:r>
    </w:p>
    <w:p w14:paraId="688EB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（一）课程设置及学时分配表</w:t>
      </w:r>
    </w:p>
    <w:tbl>
      <w:tblPr>
        <w:tblStyle w:val="13"/>
        <w:tblW w:w="852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7"/>
        <w:gridCol w:w="3355"/>
        <w:gridCol w:w="837"/>
        <w:gridCol w:w="837"/>
        <w:gridCol w:w="1331"/>
        <w:gridCol w:w="1331"/>
      </w:tblGrid>
      <w:tr w14:paraId="68A6C8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83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466B5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335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92BE7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课程名称</w:t>
            </w:r>
          </w:p>
        </w:tc>
        <w:tc>
          <w:tcPr>
            <w:tcW w:w="83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49871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学分</w:t>
            </w:r>
          </w:p>
        </w:tc>
        <w:tc>
          <w:tcPr>
            <w:tcW w:w="83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233B5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学时</w:t>
            </w:r>
          </w:p>
        </w:tc>
        <w:tc>
          <w:tcPr>
            <w:tcW w:w="1331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69CC2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开设学期</w:t>
            </w:r>
          </w:p>
        </w:tc>
        <w:tc>
          <w:tcPr>
            <w:tcW w:w="1331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65C39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课程性质</w:t>
            </w:r>
          </w:p>
        </w:tc>
      </w:tr>
      <w:tr w14:paraId="51B275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D27EA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335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D6E58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bookmarkStart w:id="0" w:name="_Hlk168565787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</w:rPr>
              <w:t>教育产品需求分析与设计</w:t>
            </w:r>
          </w:p>
        </w:tc>
        <w:tc>
          <w:tcPr>
            <w:tcW w:w="83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0B3CA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83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06B30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32</w:t>
            </w:r>
          </w:p>
        </w:tc>
        <w:tc>
          <w:tcPr>
            <w:tcW w:w="133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57BBF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第一学期</w:t>
            </w:r>
          </w:p>
        </w:tc>
        <w:tc>
          <w:tcPr>
            <w:tcW w:w="133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943BE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必修</w:t>
            </w:r>
          </w:p>
        </w:tc>
      </w:tr>
      <w:tr w14:paraId="055A5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FABDE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5BEFF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教育产品交互与原型设计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452E4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E91EB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CD1AE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第一学期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AD10B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必修</w:t>
            </w:r>
          </w:p>
        </w:tc>
      </w:tr>
      <w:tr w14:paraId="77263A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ECFC0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882CE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AI教育产品开发实践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A8015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3D2E5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ADBCE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第二学期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5F1C1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必修</w:t>
            </w:r>
          </w:p>
        </w:tc>
      </w:tr>
      <w:tr w14:paraId="03BF1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50D5E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C4144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AI教育产品运营与数据分析</w:t>
            </w:r>
          </w:p>
        </w:tc>
        <w:tc>
          <w:tcPr>
            <w:tcW w:w="8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8B4AA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8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2B167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32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2C1AE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第二学期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7DF0E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必修</w:t>
            </w:r>
          </w:p>
        </w:tc>
      </w:tr>
    </w:tbl>
    <w:p w14:paraId="10513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（二）课程简介</w:t>
      </w:r>
    </w:p>
    <w:p w14:paraId="10BF0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1. 教育产品需求分析与设计</w:t>
      </w:r>
    </w:p>
    <w:p w14:paraId="66517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围绕教育场景分析、用户访谈、竞品研究、需求优先级、产品定位和产品需求文档（PRD）编写开展教学。学生以具体教育问题为起点，形成有证据支持的产品需求方案。32学时（理论20、实验12），考查。</w:t>
      </w:r>
    </w:p>
    <w:p w14:paraId="2D734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2. 教育产品交互与原型设计</w:t>
      </w:r>
    </w:p>
    <w:p w14:paraId="26345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介绍用户体验、信息架构、交互流程、界面设计、原型制作及可用性测试。学生依据PRD制作可交互原型，并通过反馈修改设计方案。32学时（理论12、实验20），考查。</w:t>
      </w:r>
    </w:p>
    <w:p w14:paraId="45B9A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3. AI教育产品开发实践</w:t>
      </w:r>
    </w:p>
    <w:p w14:paraId="3F568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围绕AI辅助编程、低代码开发、模型API调用、知识库与智能体应用等技术开展实践，指导学生根据交互原型实现、调试、测试和展示基础产品功能，形成可运行Demo。32学时（理论8、实验24），考查。</w:t>
      </w:r>
    </w:p>
    <w:p w14:paraId="15E21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4. AI教育产品运营与数据分析</w:t>
      </w:r>
    </w:p>
    <w:p w14:paraId="10F01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介绍教育产品运营、用户反馈、学习行为数据分析、产品评价与迭代优化方法。学生利用案例或合规数据开展分析，形成运营改进建议。32学时（理论16、实验16），考查。</w:t>
      </w:r>
    </w:p>
    <w:p w14:paraId="7FC0217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八、报名和咨询</w:t>
      </w:r>
    </w:p>
    <w:p w14:paraId="2DFC781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动不如行动！立即扫码入群，开启你的专业蜕变之旅！</w:t>
      </w:r>
    </w:p>
    <w:p w14:paraId="6DE37F2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报名方式：请有意报名的同学加入微专业招生QQ群（群号：1101254857），下载并填写《江苏师范大学学生微专业申请表》，于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 w:val="21"/>
          <w:szCs w:val="21"/>
        </w:rPr>
        <w:t>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26</w:t>
      </w:r>
      <w:r>
        <w:rPr>
          <w:rFonts w:hint="eastAsia" w:ascii="宋体" w:hAnsi="宋体" w:eastAsia="宋体" w:cs="宋体"/>
          <w:sz w:val="21"/>
          <w:szCs w:val="21"/>
        </w:rPr>
        <w:t>日17:00前将电子版发送至指定邮箱：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271211927@qq.com</w:t>
      </w:r>
      <w:r>
        <w:rPr>
          <w:rFonts w:hint="eastAsia" w:ascii="宋体" w:hAnsi="宋体" w:eastAsia="宋体" w:cs="宋体"/>
          <w:sz w:val="21"/>
          <w:szCs w:val="21"/>
        </w:rPr>
        <w:t>，纸质版提交至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13#207办公</w:t>
      </w:r>
      <w:r>
        <w:rPr>
          <w:rFonts w:hint="eastAsia" w:ascii="宋体" w:hAnsi="宋体" w:eastAsia="宋体" w:cs="宋体"/>
          <w:sz w:val="21"/>
          <w:szCs w:val="21"/>
        </w:rPr>
        <w:t>室。</w:t>
      </w:r>
    </w:p>
    <w:p w14:paraId="06B3148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联系人: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索老师</w:t>
      </w:r>
      <w:r>
        <w:rPr>
          <w:rFonts w:hint="eastAsia" w:ascii="宋体" w:hAnsi="宋体" w:eastAsia="宋体" w:cs="宋体"/>
          <w:sz w:val="21"/>
          <w:szCs w:val="21"/>
        </w:rPr>
        <w:t xml:space="preserve">             联系电话：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83656529</w:t>
      </w:r>
    </w:p>
    <w:p w14:paraId="44E44A7A">
      <w:pPr>
        <w:shd w:val="clear"/>
        <w:rPr>
          <w:rFonts w:hint="default" w:ascii="Times New Roman Regular" w:hAnsi="Times New Roman Regular" w:eastAsia="宋体" w:cs="Times New Roman Regular"/>
          <w:lang w:val="en-US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74"/>
    <w:rsid w:val="001A1EC7"/>
    <w:rsid w:val="00570EED"/>
    <w:rsid w:val="00630A57"/>
    <w:rsid w:val="0078492C"/>
    <w:rsid w:val="008A2774"/>
    <w:rsid w:val="009613C3"/>
    <w:rsid w:val="00B21122"/>
    <w:rsid w:val="00C900F4"/>
    <w:rsid w:val="00D05706"/>
    <w:rsid w:val="00DA1402"/>
    <w:rsid w:val="00E85A10"/>
    <w:rsid w:val="07FC76E7"/>
    <w:rsid w:val="0B21104E"/>
    <w:rsid w:val="1CC70DFB"/>
    <w:rsid w:val="1D990F18"/>
    <w:rsid w:val="21C13D73"/>
    <w:rsid w:val="31E02D3E"/>
    <w:rsid w:val="37CA01F4"/>
    <w:rsid w:val="462C02CC"/>
    <w:rsid w:val="4CBB4158"/>
    <w:rsid w:val="51083EB3"/>
    <w:rsid w:val="519159EE"/>
    <w:rsid w:val="577856CF"/>
    <w:rsid w:val="69846073"/>
    <w:rsid w:val="6FF84ED0"/>
    <w:rsid w:val="763E5587"/>
    <w:rsid w:val="773F3B6C"/>
    <w:rsid w:val="7E4716D6"/>
    <w:rsid w:val="7F315A30"/>
    <w:rsid w:val="85E9009E"/>
    <w:rsid w:val="ABFED62F"/>
    <w:rsid w:val="AEE6504B"/>
    <w:rsid w:val="B5F71FE7"/>
    <w:rsid w:val="BAEB0465"/>
    <w:rsid w:val="CBA715BA"/>
    <w:rsid w:val="DE7F242C"/>
    <w:rsid w:val="EDFBB848"/>
    <w:rsid w:val="EDFFB212"/>
    <w:rsid w:val="FB8E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western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2641</Words>
  <Characters>2769</Characters>
  <Lines>107</Lines>
  <Paragraphs>104</Paragraphs>
  <TotalTime>0</TotalTime>
  <ScaleCrop>false</ScaleCrop>
  <LinksUpToDate>false</LinksUpToDate>
  <CharactersWithSpaces>2801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2026-01-21T01:43:00Z</dcterms:created>
  <dc:creator>永乐 李</dc:creator>
  <cp:lastModifiedBy>灵灵</cp:lastModifiedBy>
  <cp:lastPrinted>2026-10-09T04:01:00Z</cp:lastPrinted>
  <dcterms:modified xsi:type="dcterms:W3CDTF">2026-10-21T09:59:04Z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05BE6745CCE14313AFBFDCAB82710127_13</vt:lpwstr>
  </property>
  <property fmtid="{D5CDD505-2E9C-101B-9397-08002B2CF9AE}" pid="4" name="KSOTemplateDocerSaveRecord">
    <vt:lpwstr>eyJoZGlkIjoiNzRjNjBhOGU3ZTc5OWM0ZGEyMTM4ODNjODM0NWE0ZGQiLCJ1c2VySWQiOiI0OTA3MDkzODMifQ==</vt:lpwstr>
  </property>
</Properties>
</file>