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BF99" w14:textId="0BBF1C63" w:rsidR="005912CB" w:rsidRDefault="005912CB" w:rsidP="002D18E9">
      <w:pPr>
        <w:spacing w:before="142" w:line="223" w:lineRule="auto"/>
        <w:jc w:val="center"/>
        <w:rPr>
          <w:rFonts w:ascii="楷体" w:eastAsia="楷体" w:hAnsi="楷体" w:cs="楷体"/>
          <w:b/>
          <w:bCs/>
          <w:spacing w:val="-10"/>
          <w:sz w:val="36"/>
          <w:szCs w:val="36"/>
          <w:lang w:eastAsia="zh-CN"/>
        </w:rPr>
      </w:pPr>
      <w:r w:rsidRPr="002D18E9">
        <w:rPr>
          <w:rFonts w:ascii="楷体" w:eastAsia="楷体" w:hAnsi="楷体" w:cs="楷体"/>
          <w:b/>
          <w:bCs/>
          <w:spacing w:val="-10"/>
          <w:sz w:val="36"/>
          <w:szCs w:val="36"/>
          <w:lang w:eastAsia="zh-CN"/>
        </w:rPr>
        <w:t>课题指南</w:t>
      </w:r>
    </w:p>
    <w:p w14:paraId="3DB0C567" w14:textId="77777777" w:rsidR="00AD560A" w:rsidRPr="002D18E9" w:rsidRDefault="00AD560A" w:rsidP="002D18E9">
      <w:pPr>
        <w:spacing w:before="142" w:line="223" w:lineRule="auto"/>
        <w:jc w:val="center"/>
        <w:rPr>
          <w:rFonts w:ascii="楷体" w:eastAsia="楷体" w:hAnsi="楷体" w:cs="楷体" w:hint="eastAsia"/>
          <w:sz w:val="36"/>
          <w:szCs w:val="36"/>
          <w:lang w:eastAsia="zh-CN"/>
        </w:rPr>
      </w:pPr>
    </w:p>
    <w:p w14:paraId="671CF645" w14:textId="77777777" w:rsidR="005912CB" w:rsidRPr="00007C3E" w:rsidRDefault="005912CB" w:rsidP="00007C3E">
      <w:pPr>
        <w:pStyle w:val="a3"/>
        <w:spacing w:before="20" w:line="600" w:lineRule="exact"/>
        <w:ind w:left="488"/>
        <w:jc w:val="both"/>
        <w:rPr>
          <w:lang w:eastAsia="zh-CN"/>
        </w:rPr>
      </w:pPr>
      <w:r w:rsidRPr="00007C3E">
        <w:rPr>
          <w:b/>
          <w:bCs/>
          <w:spacing w:val="-6"/>
          <w:lang w:eastAsia="zh-CN"/>
        </w:rPr>
        <w:t>（</w:t>
      </w:r>
      <w:r w:rsidRPr="00007C3E">
        <w:rPr>
          <w:spacing w:val="-85"/>
          <w:lang w:eastAsia="zh-CN"/>
        </w:rPr>
        <w:t xml:space="preserve"> </w:t>
      </w:r>
      <w:r w:rsidRPr="00007C3E">
        <w:rPr>
          <w:rFonts w:cs="Times New Roman"/>
          <w:b/>
          <w:bCs/>
          <w:spacing w:val="-6"/>
          <w:lang w:eastAsia="zh-CN"/>
        </w:rPr>
        <w:t>1</w:t>
      </w:r>
      <w:r w:rsidRPr="00007C3E">
        <w:rPr>
          <w:b/>
          <w:bCs/>
          <w:spacing w:val="-6"/>
          <w:lang w:eastAsia="zh-CN"/>
        </w:rPr>
        <w:t>）重大课题</w:t>
      </w:r>
    </w:p>
    <w:p w14:paraId="5D209CEB" w14:textId="77777777" w:rsidR="005912CB" w:rsidRPr="00007C3E" w:rsidRDefault="005912CB" w:rsidP="00007C3E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①高校科研仪器平台可持续发展模式研究（包括但不限于科研仪器平台智能化升级与数字化治理、长效运行保障机制、科研仪器源数据治理与标准规范、国内外运行模式比较与借鉴等）；</w:t>
      </w:r>
    </w:p>
    <w:p w14:paraId="1F31A528" w14:textId="77777777" w:rsidR="001C0F5B" w:rsidRDefault="005912CB" w:rsidP="001C0F5B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②高校实验室安全精细化管理研究（包括但不限于实验室安全责任体系构建与投入保障机制、分级分类及风险动态评估机制、安全隐患精准排查机制及安全教育实训模式等）。</w:t>
      </w:r>
    </w:p>
    <w:p w14:paraId="3C177DB2" w14:textId="657045C6" w:rsidR="005912CB" w:rsidRPr="001C0F5B" w:rsidRDefault="005912CB" w:rsidP="001C0F5B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b/>
          <w:bCs/>
          <w:spacing w:val="4"/>
          <w:lang w:eastAsia="zh-CN"/>
        </w:rPr>
        <w:t>（</w:t>
      </w:r>
      <w:r w:rsidRPr="00007C3E">
        <w:rPr>
          <w:rFonts w:cs="Times New Roman"/>
          <w:b/>
          <w:bCs/>
          <w:spacing w:val="4"/>
          <w:lang w:eastAsia="zh-CN"/>
        </w:rPr>
        <w:t>2</w:t>
      </w:r>
      <w:r w:rsidRPr="00007C3E">
        <w:rPr>
          <w:b/>
          <w:bCs/>
          <w:spacing w:val="4"/>
          <w:lang w:eastAsia="zh-CN"/>
        </w:rPr>
        <w:t>）重点课题</w:t>
      </w:r>
    </w:p>
    <w:p w14:paraId="6C3DDDAB" w14:textId="77777777" w:rsidR="005912CB" w:rsidRPr="00007C3E" w:rsidRDefault="005912CB" w:rsidP="00007C3E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①高校推广应用国产高端科研仪器的现状和机制研究（包括但不限于国产高端科研仪器推广应用的现状梳理、成效评估、存在问题、长效机制和政策建议等）；</w:t>
      </w:r>
    </w:p>
    <w:p w14:paraId="1C6DD851" w14:textId="77777777" w:rsidR="005912CB" w:rsidRPr="00007C3E" w:rsidRDefault="005912CB" w:rsidP="00007C3E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②复合型实验技术人才队伍建设研究（包括但不限于实验技术人才能力框架构建、面向智能化管理的实验技术人才培养体系与路径设计、复合型人才评价激励与职业发展长效机制等）；</w:t>
      </w:r>
    </w:p>
    <w:p w14:paraId="3D10642F" w14:textId="77777777" w:rsidR="005912CB" w:rsidRPr="00007C3E" w:rsidRDefault="005912CB" w:rsidP="00007C3E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③高校实验室安全事故特征规律与风险防范研究（包括但不限于实验室安全事故类型、时空分布及致因规律实证分析，多场景分级预警及精准防范对策，应急管理与长效治理体系构建等）；</w:t>
      </w:r>
    </w:p>
    <w:p w14:paraId="38E020DD" w14:textId="77777777" w:rsidR="005912CB" w:rsidRPr="00007C3E" w:rsidRDefault="005912CB" w:rsidP="00007C3E">
      <w:pPr>
        <w:pStyle w:val="a3"/>
        <w:spacing w:before="140" w:line="600" w:lineRule="exact"/>
        <w:ind w:left="611" w:right="80"/>
        <w:jc w:val="both"/>
        <w:rPr>
          <w:rFonts w:cs="宋体"/>
          <w:spacing w:val="-13"/>
          <w:lang w:eastAsia="zh-CN"/>
        </w:rPr>
      </w:pPr>
      <w:r w:rsidRPr="00007C3E">
        <w:rPr>
          <w:rFonts w:cs="宋体"/>
          <w:spacing w:val="-13"/>
          <w:lang w:eastAsia="zh-CN"/>
        </w:rPr>
        <w:t>④高校实验教学改革研究（包括但不限于“科研+实验教学”深度融合的教学范式重构，基于 AI 技术的实验教学内容、方法及评价体系改革，实验教学改革的实践路径与保障机制等）。</w:t>
      </w:r>
    </w:p>
    <w:p w14:paraId="09598432" w14:textId="77777777" w:rsidR="005912CB" w:rsidRPr="00007C3E" w:rsidRDefault="005912CB" w:rsidP="00AD560A">
      <w:pPr>
        <w:pStyle w:val="a3"/>
        <w:spacing w:before="20" w:line="600" w:lineRule="exact"/>
        <w:ind w:left="488"/>
        <w:jc w:val="both"/>
        <w:rPr>
          <w:lang w:eastAsia="zh-CN"/>
        </w:rPr>
      </w:pPr>
      <w:r w:rsidRPr="00007C3E">
        <w:rPr>
          <w:b/>
          <w:bCs/>
          <w:spacing w:val="6"/>
          <w:lang w:eastAsia="zh-CN"/>
        </w:rPr>
        <w:lastRenderedPageBreak/>
        <w:t>（</w:t>
      </w:r>
      <w:r w:rsidRPr="00007C3E">
        <w:rPr>
          <w:rFonts w:cs="Times New Roman"/>
          <w:b/>
          <w:bCs/>
          <w:spacing w:val="6"/>
          <w:lang w:eastAsia="zh-CN"/>
        </w:rPr>
        <w:t>3</w:t>
      </w:r>
      <w:r w:rsidRPr="00007C3E">
        <w:rPr>
          <w:b/>
          <w:bCs/>
          <w:spacing w:val="6"/>
          <w:lang w:eastAsia="zh-CN"/>
        </w:rPr>
        <w:t>）一般课题</w:t>
      </w:r>
    </w:p>
    <w:p w14:paraId="4A3137B2" w14:textId="77777777" w:rsidR="005912CB" w:rsidRPr="00007C3E" w:rsidRDefault="005912CB" w:rsidP="00007C3E">
      <w:pPr>
        <w:pStyle w:val="a3"/>
        <w:spacing w:before="140" w:line="600" w:lineRule="exact"/>
        <w:ind w:left="501" w:right="253" w:hanging="8"/>
        <w:jc w:val="both"/>
        <w:rPr>
          <w:lang w:eastAsia="zh-CN"/>
        </w:rPr>
      </w:pPr>
      <w:r w:rsidRPr="00007C3E">
        <w:rPr>
          <w:rFonts w:cs="宋体"/>
          <w:spacing w:val="9"/>
          <w:lang w:eastAsia="zh-CN"/>
        </w:rPr>
        <w:t>①</w:t>
      </w:r>
      <w:r w:rsidRPr="00007C3E">
        <w:rPr>
          <w:spacing w:val="9"/>
          <w:lang w:eastAsia="zh-CN"/>
        </w:rPr>
        <w:t>人工智能赋能实验室建设与管理研究（包括但不限于</w:t>
      </w:r>
      <w:r w:rsidRPr="00007C3E">
        <w:rPr>
          <w:spacing w:val="-61"/>
          <w:lang w:eastAsia="zh-CN"/>
        </w:rPr>
        <w:t xml:space="preserve"> </w:t>
      </w:r>
      <w:r w:rsidRPr="00007C3E">
        <w:rPr>
          <w:rFonts w:cs="Times New Roman"/>
          <w:lang w:eastAsia="zh-CN"/>
        </w:rPr>
        <w:t>AI</w:t>
      </w:r>
      <w:r w:rsidRPr="00007C3E">
        <w:rPr>
          <w:rFonts w:cs="Times New Roman"/>
          <w:spacing w:val="9"/>
          <w:lang w:eastAsia="zh-CN"/>
        </w:rPr>
        <w:t xml:space="preserve"> </w:t>
      </w:r>
      <w:r w:rsidRPr="00007C3E">
        <w:rPr>
          <w:spacing w:val="9"/>
          <w:lang w:eastAsia="zh-CN"/>
        </w:rPr>
        <w:t>在</w:t>
      </w:r>
      <w:r w:rsidRPr="00007C3E">
        <w:rPr>
          <w:spacing w:val="5"/>
          <w:lang w:eastAsia="zh-CN"/>
        </w:rPr>
        <w:t>实验室建设与资源配置中的应用、</w:t>
      </w:r>
      <w:r w:rsidRPr="00007C3E">
        <w:rPr>
          <w:rFonts w:cs="Times New Roman"/>
          <w:lang w:eastAsia="zh-CN"/>
        </w:rPr>
        <w:t>AI</w:t>
      </w:r>
      <w:r w:rsidRPr="00007C3E">
        <w:rPr>
          <w:rFonts w:cs="Times New Roman"/>
          <w:spacing w:val="5"/>
          <w:lang w:eastAsia="zh-CN"/>
        </w:rPr>
        <w:t xml:space="preserve"> </w:t>
      </w:r>
      <w:r w:rsidRPr="00007C3E">
        <w:rPr>
          <w:spacing w:val="5"/>
          <w:lang w:eastAsia="zh-CN"/>
        </w:rPr>
        <w:t>赋能实验室运维管控、</w:t>
      </w:r>
      <w:r w:rsidRPr="00007C3E">
        <w:rPr>
          <w:rFonts w:cs="Times New Roman"/>
          <w:lang w:eastAsia="zh-CN"/>
        </w:rPr>
        <w:t>AI</w:t>
      </w:r>
      <w:r w:rsidRPr="00007C3E">
        <w:rPr>
          <w:spacing w:val="1"/>
          <w:lang w:eastAsia="zh-CN"/>
        </w:rPr>
        <w:t>支撑实验室安全技术防范等</w:t>
      </w:r>
      <w:r w:rsidRPr="00007C3E">
        <w:rPr>
          <w:spacing w:val="-33"/>
          <w:lang w:eastAsia="zh-CN"/>
        </w:rPr>
        <w:t>）；</w:t>
      </w:r>
    </w:p>
    <w:p w14:paraId="5D329715" w14:textId="77777777" w:rsidR="005912CB" w:rsidRPr="00007C3E" w:rsidRDefault="005912CB" w:rsidP="00007C3E">
      <w:pPr>
        <w:pStyle w:val="a3"/>
        <w:spacing w:before="4" w:line="600" w:lineRule="exact"/>
        <w:ind w:left="443" w:firstLine="49"/>
        <w:jc w:val="both"/>
        <w:rPr>
          <w:lang w:eastAsia="zh-CN"/>
        </w:rPr>
      </w:pPr>
      <w:r w:rsidRPr="00007C3E">
        <w:rPr>
          <w:rFonts w:cs="宋体"/>
          <w:spacing w:val="-14"/>
          <w:lang w:eastAsia="zh-CN"/>
        </w:rPr>
        <w:t>②</w:t>
      </w:r>
      <w:r w:rsidRPr="00007C3E">
        <w:rPr>
          <w:spacing w:val="-14"/>
          <w:lang w:eastAsia="zh-CN"/>
        </w:rPr>
        <w:t>高校仪器设备全生命周期管理研究（包括但不限于仪器设备采购、</w:t>
      </w:r>
      <w:r w:rsidRPr="00007C3E">
        <w:rPr>
          <w:spacing w:val="-20"/>
          <w:lang w:eastAsia="zh-CN"/>
        </w:rPr>
        <w:t>使用、维护、处置等全周期管理体系和仪器设备机时标准、开</w:t>
      </w:r>
      <w:r w:rsidRPr="00007C3E">
        <w:rPr>
          <w:spacing w:val="-21"/>
          <w:lang w:eastAsia="zh-CN"/>
        </w:rPr>
        <w:t>放共享</w:t>
      </w:r>
      <w:r w:rsidRPr="00007C3E">
        <w:rPr>
          <w:spacing w:val="14"/>
          <w:lang w:eastAsia="zh-CN"/>
        </w:rPr>
        <w:t>与效益评价体系等</w:t>
      </w:r>
      <w:r w:rsidRPr="00007C3E">
        <w:rPr>
          <w:spacing w:val="-72"/>
          <w:lang w:eastAsia="zh-CN"/>
        </w:rPr>
        <w:t>）；</w:t>
      </w:r>
    </w:p>
    <w:p w14:paraId="78DADE49" w14:textId="77777777" w:rsidR="005912CB" w:rsidRPr="00007C3E" w:rsidRDefault="005912CB" w:rsidP="00007C3E">
      <w:pPr>
        <w:pStyle w:val="a3"/>
        <w:spacing w:before="4" w:line="600" w:lineRule="exact"/>
        <w:ind w:left="443" w:firstLine="49"/>
        <w:jc w:val="both"/>
        <w:rPr>
          <w:rFonts w:cs="宋体"/>
          <w:spacing w:val="-14"/>
          <w:lang w:eastAsia="zh-CN"/>
        </w:rPr>
      </w:pPr>
      <w:r w:rsidRPr="00007C3E">
        <w:rPr>
          <w:rFonts w:cs="宋体"/>
          <w:spacing w:val="-14"/>
          <w:lang w:eastAsia="zh-CN"/>
        </w:rPr>
        <w:t>③实验教学中心或实训基地可持续发展研究（包括但不限于实验教学中心或实训基地运行保障、资源高效利用、实验队伍建设、管理优化、质量提升等）；</w:t>
      </w:r>
    </w:p>
    <w:p w14:paraId="67806670" w14:textId="304D8E4D" w:rsidR="00AC456C" w:rsidRPr="00007C3E" w:rsidRDefault="005912CB" w:rsidP="00007C3E">
      <w:pPr>
        <w:pStyle w:val="a3"/>
        <w:spacing w:before="140" w:line="600" w:lineRule="exact"/>
        <w:ind w:left="501" w:right="253" w:hanging="8"/>
        <w:jc w:val="both"/>
        <w:rPr>
          <w:rFonts w:cs="宋体"/>
          <w:spacing w:val="9"/>
          <w:lang w:eastAsia="zh-CN"/>
        </w:rPr>
      </w:pPr>
      <w:r w:rsidRPr="00007C3E">
        <w:rPr>
          <w:rFonts w:cs="宋体"/>
          <w:spacing w:val="9"/>
          <w:lang w:eastAsia="zh-CN"/>
        </w:rPr>
        <w:t>④高校实验室文化体系建设与实践研究（包括但不限于实验室文化核心要素、构建路径、建设举措、长效机制、文化育人等）。</w:t>
      </w:r>
    </w:p>
    <w:sectPr w:rsidR="00AC456C" w:rsidRPr="00007C3E" w:rsidSect="005912CB">
      <w:footerReference w:type="default" r:id="rId6"/>
      <w:pgSz w:w="11907" w:h="16839"/>
      <w:pgMar w:top="1293" w:right="923" w:bottom="927" w:left="1638" w:header="0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A0FB" w14:textId="77777777" w:rsidR="00942213" w:rsidRDefault="00942213">
      <w:r>
        <w:separator/>
      </w:r>
    </w:p>
  </w:endnote>
  <w:endnote w:type="continuationSeparator" w:id="0">
    <w:p w14:paraId="20AA3372" w14:textId="77777777" w:rsidR="00942213" w:rsidRDefault="0094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90974"/>
      <w:docPartObj>
        <w:docPartGallery w:val="Page Numbers (Bottom of Page)"/>
        <w:docPartUnique/>
      </w:docPartObj>
    </w:sdtPr>
    <w:sdtContent>
      <w:p w14:paraId="3EEB0609" w14:textId="6FFD729E" w:rsidR="00F65CA1" w:rsidRDefault="00F65CA1" w:rsidP="00F65CA1">
        <w:pPr>
          <w:pStyle w:val="a6"/>
          <w:ind w:firstLineChars="2200" w:firstLine="396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113BBC1" w14:textId="429A924A" w:rsidR="00AC456C" w:rsidRDefault="00AC456C">
    <w:pPr>
      <w:spacing w:line="226" w:lineRule="auto"/>
      <w:ind w:left="4174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07E0" w14:textId="77777777" w:rsidR="00942213" w:rsidRDefault="00942213">
      <w:r>
        <w:separator/>
      </w:r>
    </w:p>
  </w:footnote>
  <w:footnote w:type="continuationSeparator" w:id="0">
    <w:p w14:paraId="1930B00A" w14:textId="77777777" w:rsidR="00942213" w:rsidRDefault="0094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6C"/>
    <w:rsid w:val="00007C3E"/>
    <w:rsid w:val="000516DA"/>
    <w:rsid w:val="001C0F5B"/>
    <w:rsid w:val="00222A5C"/>
    <w:rsid w:val="002D18E9"/>
    <w:rsid w:val="003153FC"/>
    <w:rsid w:val="00352A55"/>
    <w:rsid w:val="0044291B"/>
    <w:rsid w:val="004676B3"/>
    <w:rsid w:val="0048094A"/>
    <w:rsid w:val="005912CB"/>
    <w:rsid w:val="005A763F"/>
    <w:rsid w:val="008B6997"/>
    <w:rsid w:val="00942213"/>
    <w:rsid w:val="00AC456C"/>
    <w:rsid w:val="00AD560A"/>
    <w:rsid w:val="00BD4829"/>
    <w:rsid w:val="00DE743B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04CB6"/>
  <w15:docId w15:val="{084812B3-BFE7-4DBD-8486-FEB837A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link w:val="a5"/>
    <w:uiPriority w:val="99"/>
    <w:unhideWhenUsed/>
    <w:rsid w:val="005912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12CB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12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12C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XSB1</dc:creator>
  <cp:lastModifiedBy>陈香红</cp:lastModifiedBy>
  <cp:revision>31</cp:revision>
  <cp:lastPrinted>2026-06-03T02:36:00Z</cp:lastPrinted>
  <dcterms:created xsi:type="dcterms:W3CDTF">2026-06-03T01:27:00Z</dcterms:created>
  <dcterms:modified xsi:type="dcterms:W3CDTF">2026-06-03T03:02:00Z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2026-06-03T09:21:20Z</vt:filetime>
  </property>
</Properties>
</file>